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41" w:rsidRDefault="00EB01BF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4D41" w:rsidRDefault="00EB01BF">
      <w:pPr>
        <w:spacing w:after="0"/>
        <w:ind w:right="6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ANNEX 2a </w:t>
      </w:r>
    </w:p>
    <w:p w:rsidR="009E4D41" w:rsidRDefault="00EB01BF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4D41" w:rsidRDefault="00EB01BF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4D41" w:rsidRDefault="00EB01BF">
      <w:pPr>
        <w:spacing w:after="0"/>
        <w:ind w:right="6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ADDITIONAL INFORMATION ON THE ESTIMATED BUDGET </w:t>
      </w:r>
    </w:p>
    <w:p w:rsidR="009E4D41" w:rsidRDefault="00EB01BF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4D41" w:rsidRDefault="00EB01BF" w:rsidP="00522F88">
      <w:pPr>
        <w:numPr>
          <w:ilvl w:val="0"/>
          <w:numId w:val="1"/>
        </w:numPr>
        <w:spacing w:after="4" w:line="249" w:lineRule="auto"/>
        <w:ind w:hanging="360"/>
        <w:jc w:val="both"/>
      </w:pPr>
      <w:r>
        <w:rPr>
          <w:rFonts w:ascii="Arial" w:eastAsia="Arial" w:hAnsi="Arial" w:cs="Arial"/>
          <w:b/>
          <w:color w:val="0088CC"/>
          <w:sz w:val="18"/>
        </w:rPr>
        <w:t xml:space="preserve">Instructions and footnotes in blue should be deleted. </w:t>
      </w:r>
    </w:p>
    <w:p w:rsidR="009E4D41" w:rsidRDefault="00EB01BF" w:rsidP="00522F88">
      <w:pPr>
        <w:numPr>
          <w:ilvl w:val="0"/>
          <w:numId w:val="1"/>
        </w:numPr>
        <w:spacing w:after="4" w:line="249" w:lineRule="auto"/>
        <w:ind w:hanging="360"/>
        <w:jc w:val="both"/>
      </w:pPr>
      <w:r>
        <w:rPr>
          <w:rFonts w:ascii="Arial" w:eastAsia="Arial" w:hAnsi="Arial" w:cs="Arial"/>
          <w:b/>
          <w:color w:val="0088CC"/>
          <w:sz w:val="18"/>
        </w:rPr>
        <w:t xml:space="preserve">For options </w:t>
      </w:r>
      <w:r>
        <w:rPr>
          <w:rFonts w:ascii="Arial" w:eastAsia="Arial" w:hAnsi="Arial" w:cs="Arial"/>
          <w:b/>
          <w:i/>
          <w:color w:val="0088CC"/>
          <w:sz w:val="18"/>
        </w:rPr>
        <w:t>[</w:t>
      </w:r>
      <w:r>
        <w:rPr>
          <w:rFonts w:ascii="Arial" w:eastAsia="Arial" w:hAnsi="Arial" w:cs="Arial"/>
          <w:b/>
          <w:color w:val="0088CC"/>
          <w:sz w:val="18"/>
        </w:rPr>
        <w:t>in square brackets</w:t>
      </w:r>
      <w:r>
        <w:rPr>
          <w:rFonts w:ascii="Arial" w:eastAsia="Arial" w:hAnsi="Arial" w:cs="Arial"/>
          <w:b/>
          <w:i/>
          <w:color w:val="0088CC"/>
          <w:sz w:val="18"/>
        </w:rPr>
        <w:t>]</w:t>
      </w:r>
      <w:r>
        <w:rPr>
          <w:rFonts w:ascii="Arial" w:eastAsia="Arial" w:hAnsi="Arial" w:cs="Arial"/>
          <w:b/>
          <w:color w:val="0088CC"/>
          <w:sz w:val="18"/>
        </w:rPr>
        <w:t xml:space="preserve">: choose the option that applies. (Options not chosen and the brackets should be deleted.) </w:t>
      </w:r>
    </w:p>
    <w:p w:rsidR="009E4D41" w:rsidRDefault="00EB01BF" w:rsidP="00522F88">
      <w:pPr>
        <w:numPr>
          <w:ilvl w:val="0"/>
          <w:numId w:val="1"/>
        </w:numPr>
        <w:spacing w:after="4" w:line="249" w:lineRule="auto"/>
        <w:ind w:hanging="360"/>
        <w:jc w:val="both"/>
      </w:pPr>
      <w:r>
        <w:rPr>
          <w:rFonts w:ascii="Arial" w:eastAsia="Arial" w:hAnsi="Arial" w:cs="Arial"/>
          <w:b/>
          <w:color w:val="0088CC"/>
          <w:sz w:val="18"/>
        </w:rPr>
        <w:t>For fields</w:t>
      </w:r>
      <w:r>
        <w:rPr>
          <w:rFonts w:ascii="Arial" w:eastAsia="Arial" w:hAnsi="Arial" w:cs="Arial"/>
          <w:b/>
          <w:color w:val="0088CC"/>
          <w:sz w:val="18"/>
        </w:rPr>
        <w:t xml:space="preserve"> in [</w:t>
      </w:r>
      <w:r>
        <w:rPr>
          <w:rFonts w:ascii="Arial" w:eastAsia="Arial" w:hAnsi="Arial" w:cs="Arial"/>
          <w:b/>
          <w:color w:val="0088CC"/>
          <w:sz w:val="18"/>
          <w:shd w:val="clear" w:color="auto" w:fill="D3D3D3"/>
        </w:rPr>
        <w:t>grey in square brackets</w:t>
      </w:r>
      <w:r>
        <w:rPr>
          <w:rFonts w:ascii="Arial" w:eastAsia="Arial" w:hAnsi="Arial" w:cs="Arial"/>
          <w:b/>
          <w:color w:val="0088CC"/>
          <w:sz w:val="18"/>
        </w:rPr>
        <w:t xml:space="preserve">]: enter the appropriate data (and take out the grey colour and the brackets). </w:t>
      </w:r>
    </w:p>
    <w:p w:rsidR="009E4D41" w:rsidRDefault="00EB01BF" w:rsidP="00522F88">
      <w:pPr>
        <w:spacing w:after="0"/>
        <w:ind w:left="358"/>
        <w:jc w:val="both"/>
      </w:pPr>
      <w:r>
        <w:rPr>
          <w:rFonts w:ascii="Arial" w:eastAsia="Arial" w:hAnsi="Arial" w:cs="Arial"/>
          <w:b/>
          <w:color w:val="0088CC"/>
          <w:sz w:val="18"/>
        </w:rPr>
        <w:t xml:space="preserve"> </w:t>
      </w:r>
    </w:p>
    <w:p w:rsidR="009E4D41" w:rsidRDefault="00EB01BF" w:rsidP="00522F88">
      <w:pPr>
        <w:spacing w:after="4" w:line="249" w:lineRule="auto"/>
        <w:ind w:left="-5" w:hanging="10"/>
        <w:jc w:val="both"/>
      </w:pPr>
      <w:r>
        <w:rPr>
          <w:rFonts w:ascii="Arial" w:eastAsia="Arial" w:hAnsi="Arial" w:cs="Arial"/>
          <w:b/>
          <w:color w:val="0088CC"/>
          <w:sz w:val="18"/>
        </w:rPr>
        <w:t xml:space="preserve">This template is NOT IT-supported. It must be prepared manually (by choosing and deleting the options/entering the appropriate data) and uploaded </w:t>
      </w:r>
      <w:r>
        <w:rPr>
          <w:rFonts w:ascii="Arial" w:eastAsia="Arial" w:hAnsi="Arial" w:cs="Arial"/>
          <w:b/>
          <w:color w:val="0088CC"/>
          <w:sz w:val="18"/>
        </w:rPr>
        <w:t xml:space="preserve">in </w:t>
      </w:r>
      <w:proofErr w:type="spellStart"/>
      <w:r>
        <w:rPr>
          <w:rFonts w:ascii="Arial" w:eastAsia="Arial" w:hAnsi="Arial" w:cs="Arial"/>
          <w:b/>
          <w:color w:val="0088CC"/>
          <w:sz w:val="18"/>
        </w:rPr>
        <w:t>SyGMa</w:t>
      </w:r>
      <w:proofErr w:type="spellEnd"/>
      <w:r>
        <w:rPr>
          <w:rFonts w:ascii="Arial" w:eastAsia="Arial" w:hAnsi="Arial" w:cs="Arial"/>
          <w:b/>
          <w:color w:val="0088CC"/>
          <w:sz w:val="18"/>
        </w:rPr>
        <w:t xml:space="preserve"> as attachment to the grant agreement.  </w:t>
      </w:r>
    </w:p>
    <w:p w:rsidR="009E4D41" w:rsidRDefault="00EB01BF" w:rsidP="00522F88">
      <w:pPr>
        <w:spacing w:after="0"/>
        <w:jc w:val="both"/>
      </w:pPr>
      <w:r>
        <w:rPr>
          <w:rFonts w:ascii="Arial" w:eastAsia="Arial" w:hAnsi="Arial" w:cs="Arial"/>
          <w:b/>
          <w:color w:val="0088CC"/>
          <w:sz w:val="18"/>
        </w:rPr>
        <w:t xml:space="preserve"> </w:t>
      </w:r>
    </w:p>
    <w:p w:rsidR="009E4D41" w:rsidRDefault="00EB01BF" w:rsidP="00522F88">
      <w:pPr>
        <w:spacing w:after="4" w:line="249" w:lineRule="auto"/>
        <w:ind w:left="-5" w:hanging="10"/>
        <w:jc w:val="both"/>
      </w:pPr>
      <w:r>
        <w:rPr>
          <w:rFonts w:ascii="Arial" w:eastAsia="Arial" w:hAnsi="Arial" w:cs="Arial"/>
          <w:b/>
          <w:color w:val="0088CC"/>
          <w:sz w:val="18"/>
        </w:rPr>
        <w:t xml:space="preserve">For the ‘unit cost tables’: either fill them out manually or use currently existing tables from Annex 1 or the proposal. </w:t>
      </w:r>
    </w:p>
    <w:p w:rsidR="009E4D41" w:rsidRDefault="00EB01BF">
      <w:pPr>
        <w:spacing w:after="38"/>
      </w:pPr>
      <w:r>
        <w:rPr>
          <w:rFonts w:ascii="Arial" w:eastAsia="Arial" w:hAnsi="Arial" w:cs="Arial"/>
          <w:b/>
          <w:color w:val="0088CC"/>
          <w:sz w:val="18"/>
        </w:rPr>
        <w:t xml:space="preserve"> </w:t>
      </w:r>
    </w:p>
    <w:p w:rsidR="009E4D41" w:rsidRDefault="00EB01BF">
      <w:pPr>
        <w:pStyle w:val="Heading1"/>
        <w:ind w:left="-5"/>
      </w:pPr>
      <w:r>
        <w:t>Unit cost for SME owners/natural beneficiaries without salary</w:t>
      </w:r>
      <w:r>
        <w:rPr>
          <w:b w:val="0"/>
          <w:sz w:val="22"/>
          <w:u w:val="none"/>
        </w:rPr>
        <w:t xml:space="preserve"> </w:t>
      </w:r>
    </w:p>
    <w:p w:rsidR="009E4D41" w:rsidRDefault="00EB01BF">
      <w:pPr>
        <w:pStyle w:val="Heading2"/>
        <w:ind w:left="-5" w:right="0"/>
      </w:pPr>
      <w:r>
        <w:rPr>
          <w:color w:val="0088CC"/>
        </w:rPr>
        <w:t>1.</w:t>
      </w:r>
      <w:r>
        <w:rPr>
          <w:color w:val="0000FF"/>
        </w:rPr>
        <w:t xml:space="preserve"> </w:t>
      </w:r>
      <w:r>
        <w:t xml:space="preserve">Costs for a </w:t>
      </w:r>
      <w:r>
        <w:rPr>
          <w:b w:val="0"/>
          <w:i/>
          <w:color w:val="0088CC"/>
        </w:rPr>
        <w:t>[</w:t>
      </w:r>
      <w:r>
        <w:t xml:space="preserve">SME </w:t>
      </w:r>
      <w:proofErr w:type="gramStart"/>
      <w:r>
        <w:t>owner</w:t>
      </w:r>
      <w:r>
        <w:rPr>
          <w:b w:val="0"/>
          <w:i/>
          <w:color w:val="0088CC"/>
        </w:rPr>
        <w:t>][</w:t>
      </w:r>
      <w:proofErr w:type="gramEnd"/>
      <w:r>
        <w:t>beneficiary that is a natural person</w:t>
      </w:r>
      <w:r>
        <w:rPr>
          <w:b w:val="0"/>
          <w:i/>
          <w:color w:val="0088CC"/>
        </w:rPr>
        <w:t>]</w:t>
      </w:r>
      <w:r>
        <w:t xml:space="preserve"> not receiving a salary </w:t>
      </w:r>
    </w:p>
    <w:p w:rsidR="009E4D41" w:rsidRDefault="00EB01BF">
      <w:pPr>
        <w:spacing w:after="187" w:line="249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Units</w:t>
      </w:r>
      <w:r>
        <w:rPr>
          <w:rFonts w:ascii="Times New Roman" w:eastAsia="Times New Roman" w:hAnsi="Times New Roman" w:cs="Times New Roman"/>
          <w:sz w:val="20"/>
        </w:rPr>
        <w:t xml:space="preserve">: hours worked on the action </w:t>
      </w:r>
    </w:p>
    <w:p w:rsidR="009E4D41" w:rsidRDefault="00EB01BF">
      <w:pPr>
        <w:spacing w:after="187" w:line="249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Amount per unit (‘hourly rate’)</w:t>
      </w:r>
      <w:r>
        <w:rPr>
          <w:rFonts w:ascii="Times New Roman" w:eastAsia="Times New Roman" w:hAnsi="Times New Roman" w:cs="Times New Roman"/>
          <w:sz w:val="20"/>
        </w:rPr>
        <w:t xml:space="preserve">: calculated according to the following formula:  </w:t>
      </w:r>
    </w:p>
    <w:p w:rsidR="009E4D41" w:rsidRDefault="00EB01BF">
      <w:pPr>
        <w:spacing w:after="4" w:line="249" w:lineRule="auto"/>
        <w:ind w:left="1090" w:right="1421" w:hanging="10"/>
        <w:jc w:val="both"/>
      </w:pPr>
      <w:r>
        <w:rPr>
          <w:rFonts w:ascii="Times New Roman" w:eastAsia="Times New Roman" w:hAnsi="Times New Roman" w:cs="Times New Roman"/>
          <w:sz w:val="18"/>
        </w:rPr>
        <w:t>{the monthly living allowance for researchers in MSCA-</w:t>
      </w:r>
      <w:r>
        <w:rPr>
          <w:rFonts w:ascii="Times New Roman" w:eastAsia="Times New Roman" w:hAnsi="Times New Roman" w:cs="Times New Roman"/>
          <w:sz w:val="18"/>
        </w:rPr>
        <w:t xml:space="preserve">IF actions / 143 </w:t>
      </w:r>
      <w:proofErr w:type="gramStart"/>
      <w:r>
        <w:rPr>
          <w:rFonts w:ascii="Times New Roman" w:eastAsia="Times New Roman" w:hAnsi="Times New Roman" w:cs="Times New Roman"/>
          <w:sz w:val="18"/>
        </w:rPr>
        <w:t>hours}  multiplied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by  </w:t>
      </w:r>
    </w:p>
    <w:p w:rsidR="009E4D41" w:rsidRDefault="00EB01BF">
      <w:pPr>
        <w:spacing w:after="205" w:line="249" w:lineRule="auto"/>
        <w:ind w:left="1090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{country-specific correction coefficient of the country where the beneficiary is established} </w:t>
      </w:r>
    </w:p>
    <w:p w:rsidR="009E4D41" w:rsidRDefault="00EB01BF">
      <w:pPr>
        <w:spacing w:after="187" w:line="249" w:lineRule="auto"/>
        <w:ind w:left="370" w:right="52" w:hanging="10"/>
        <w:jc w:val="both"/>
      </w:pPr>
      <w:r>
        <w:rPr>
          <w:rFonts w:ascii="Times New Roman" w:eastAsia="Times New Roman" w:hAnsi="Times New Roman" w:cs="Times New Roman"/>
          <w:sz w:val="20"/>
        </w:rPr>
        <w:t>The monthly living allowance and the country-specific correction coefficients are set out in the Work Programme (section</w:t>
      </w:r>
      <w:r>
        <w:rPr>
          <w:rFonts w:ascii="Times New Roman" w:eastAsia="Times New Roman" w:hAnsi="Times New Roman" w:cs="Times New Roman"/>
          <w:sz w:val="20"/>
        </w:rPr>
        <w:t xml:space="preserve"> 3 MSCA) in force at the time of the call: </w:t>
      </w:r>
    </w:p>
    <w:p w:rsidR="009E4D41" w:rsidRDefault="00EB01BF">
      <w:pPr>
        <w:numPr>
          <w:ilvl w:val="0"/>
          <w:numId w:val="2"/>
        </w:numPr>
        <w:spacing w:after="118" w:line="249" w:lineRule="auto"/>
        <w:ind w:right="50" w:hanging="36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for calls </w:t>
      </w:r>
      <w:r>
        <w:rPr>
          <w:rFonts w:ascii="Times New Roman" w:eastAsia="Times New Roman" w:hAnsi="Times New Roman" w:cs="Times New Roman"/>
          <w:i/>
          <w:sz w:val="18"/>
        </w:rPr>
        <w:t>before</w:t>
      </w:r>
      <w:r>
        <w:rPr>
          <w:rFonts w:ascii="Times New Roman" w:eastAsia="Times New Roman" w:hAnsi="Times New Roman" w:cs="Times New Roman"/>
          <w:sz w:val="18"/>
        </w:rPr>
        <w:t xml:space="preserve"> Work Programme 2018-2020: </w:t>
      </w:r>
    </w:p>
    <w:p w:rsidR="009E4D41" w:rsidRDefault="00EB01BF">
      <w:pPr>
        <w:numPr>
          <w:ilvl w:val="0"/>
          <w:numId w:val="2"/>
        </w:numPr>
        <w:spacing w:after="116" w:line="249" w:lineRule="auto"/>
        <w:ind w:right="50" w:hanging="36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for the monthly living allowance: </w:t>
      </w:r>
      <w:r>
        <w:rPr>
          <w:rFonts w:ascii="Times New Roman" w:eastAsia="Times New Roman" w:hAnsi="Times New Roman" w:cs="Times New Roman"/>
          <w:b/>
          <w:sz w:val="18"/>
        </w:rPr>
        <w:t>EUR 4 650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:rsidR="009E4D41" w:rsidRDefault="00EB01BF">
      <w:pPr>
        <w:numPr>
          <w:ilvl w:val="0"/>
          <w:numId w:val="2"/>
        </w:numPr>
        <w:spacing w:after="193" w:line="249" w:lineRule="auto"/>
        <w:ind w:right="50" w:hanging="36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for the country-specific correction coefficients: see Work Programme 2014-2015 and Work Programme 2016-2017 (available on </w:t>
      </w:r>
      <w:r>
        <w:rPr>
          <w:rFonts w:ascii="Times New Roman" w:eastAsia="Times New Roman" w:hAnsi="Times New Roman" w:cs="Times New Roman"/>
          <w:sz w:val="18"/>
        </w:rPr>
        <w:t>th</w:t>
      </w:r>
      <w:hyperlink r:id="rId7" w:anchor="h2020-work-programmes-2014-15">
        <w:r>
          <w:rPr>
            <w:rFonts w:ascii="Times New Roman" w:eastAsia="Times New Roman" w:hAnsi="Times New Roman" w:cs="Times New Roman"/>
            <w:sz w:val="18"/>
          </w:rPr>
          <w:t xml:space="preserve">e </w:t>
        </w:r>
      </w:hyperlink>
      <w:hyperlink r:id="rId8" w:anchor="h2020-work-programmes-2014-15">
        <w:r>
          <w:rPr>
            <w:rFonts w:ascii="Times New Roman" w:eastAsia="Times New Roman" w:hAnsi="Times New Roman" w:cs="Times New Roman"/>
            <w:color w:val="0088CC"/>
            <w:sz w:val="18"/>
            <w:u w:val="single" w:color="0088CC"/>
          </w:rPr>
          <w:t>Participant Portal Reference Documents</w:t>
        </w:r>
      </w:hyperlink>
      <w:hyperlink r:id="rId9" w:anchor="h2020-work-programmes-2014-15">
        <w:r>
          <w:rPr>
            <w:rFonts w:ascii="Times New Roman" w:eastAsia="Times New Roman" w:hAnsi="Times New Roman" w:cs="Times New Roman"/>
            <w:sz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18"/>
        </w:rPr>
        <w:t xml:space="preserve">page) </w:t>
      </w:r>
    </w:p>
    <w:p w:rsidR="009E4D41" w:rsidRDefault="00EB01BF">
      <w:pPr>
        <w:numPr>
          <w:ilvl w:val="0"/>
          <w:numId w:val="2"/>
        </w:numPr>
        <w:spacing w:after="116" w:line="249" w:lineRule="auto"/>
        <w:ind w:right="50" w:hanging="36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for calls </w:t>
      </w:r>
      <w:r>
        <w:rPr>
          <w:rFonts w:ascii="Times New Roman" w:eastAsia="Times New Roman" w:hAnsi="Times New Roman" w:cs="Times New Roman"/>
          <w:i/>
          <w:sz w:val="18"/>
        </w:rPr>
        <w:t>under</w:t>
      </w:r>
      <w:r>
        <w:rPr>
          <w:rFonts w:ascii="Times New Roman" w:eastAsia="Times New Roman" w:hAnsi="Times New Roman" w:cs="Times New Roman"/>
          <w:sz w:val="18"/>
        </w:rPr>
        <w:t xml:space="preserve"> Work Programme 2018-</w:t>
      </w:r>
      <w:r>
        <w:rPr>
          <w:rFonts w:ascii="Times New Roman" w:eastAsia="Times New Roman" w:hAnsi="Times New Roman" w:cs="Times New Roman"/>
          <w:sz w:val="18"/>
        </w:rPr>
        <w:t xml:space="preserve">2020: </w:t>
      </w:r>
    </w:p>
    <w:p w:rsidR="009E4D41" w:rsidRDefault="00EB01BF">
      <w:pPr>
        <w:numPr>
          <w:ilvl w:val="0"/>
          <w:numId w:val="2"/>
        </w:numPr>
        <w:spacing w:after="116" w:line="249" w:lineRule="auto"/>
        <w:ind w:right="50" w:hanging="36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for the monthly living allowance: </w:t>
      </w:r>
      <w:r>
        <w:rPr>
          <w:rFonts w:ascii="Times New Roman" w:eastAsia="Times New Roman" w:hAnsi="Times New Roman" w:cs="Times New Roman"/>
          <w:b/>
          <w:sz w:val="18"/>
        </w:rPr>
        <w:t>EUR 4 880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E4D41" w:rsidRDefault="00EB01BF">
      <w:pPr>
        <w:numPr>
          <w:ilvl w:val="0"/>
          <w:numId w:val="2"/>
        </w:numPr>
        <w:spacing w:after="214" w:line="249" w:lineRule="auto"/>
        <w:ind w:right="50" w:hanging="36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for the country-specific correction coefficients: see Work Programme 2018-2020 (available on the </w:t>
      </w:r>
      <w:hyperlink r:id="rId10" w:anchor="h2020-work-programmes-2018-20">
        <w:r>
          <w:rPr>
            <w:rFonts w:ascii="Times New Roman" w:eastAsia="Times New Roman" w:hAnsi="Times New Roman" w:cs="Times New Roman"/>
            <w:color w:val="0088CC"/>
            <w:sz w:val="18"/>
            <w:u w:val="single" w:color="0088CC"/>
          </w:rPr>
          <w:t>Participant Portal Reference Documents</w:t>
        </w:r>
      </w:hyperlink>
      <w:hyperlink r:id="rId11" w:anchor="h2020-work-programmes-2018-20">
        <w:r>
          <w:rPr>
            <w:rFonts w:ascii="Times New Roman" w:eastAsia="Times New Roman" w:hAnsi="Times New Roman" w:cs="Times New Roman"/>
            <w:sz w:val="18"/>
          </w:rPr>
          <w:t xml:space="preserve"> </w:t>
        </w:r>
      </w:hyperlink>
      <w:hyperlink r:id="rId12" w:anchor="h2020-work-programmes-2018-20">
        <w:r>
          <w:rPr>
            <w:rFonts w:ascii="Times New Roman" w:eastAsia="Times New Roman" w:hAnsi="Times New Roman" w:cs="Times New Roman"/>
            <w:sz w:val="18"/>
          </w:rPr>
          <w:t>p</w:t>
        </w:r>
      </w:hyperlink>
      <w:r>
        <w:rPr>
          <w:rFonts w:ascii="Times New Roman" w:eastAsia="Times New Roman" w:hAnsi="Times New Roman" w:cs="Times New Roman"/>
          <w:sz w:val="18"/>
        </w:rPr>
        <w:t xml:space="preserve">age) </w:t>
      </w:r>
    </w:p>
    <w:p w:rsidR="009E4D41" w:rsidRDefault="00EB01BF">
      <w:pPr>
        <w:spacing w:after="205" w:line="237" w:lineRule="auto"/>
        <w:ind w:left="360" w:right="68"/>
        <w:jc w:val="both"/>
      </w:pPr>
      <w:r>
        <w:rPr>
          <w:rFonts w:ascii="Times New Roman" w:eastAsia="Times New Roman" w:hAnsi="Times New Roman" w:cs="Times New Roman"/>
          <w:b/>
          <w:i/>
          <w:color w:val="0088CC"/>
          <w:sz w:val="20"/>
        </w:rPr>
        <w:t>[additional OPTION for beneficiaries/linke</w:t>
      </w:r>
      <w:r>
        <w:rPr>
          <w:rFonts w:ascii="Times New Roman" w:eastAsia="Times New Roman" w:hAnsi="Times New Roman" w:cs="Times New Roman"/>
          <w:b/>
          <w:i/>
          <w:color w:val="0088CC"/>
          <w:sz w:val="20"/>
        </w:rPr>
        <w:t>d third parties that have opted to use the unit cost (in the proposal/with an amendment):</w:t>
      </w:r>
      <w:r>
        <w:rPr>
          <w:rFonts w:ascii="Times New Roman" w:eastAsia="Times New Roman" w:hAnsi="Times New Roman" w:cs="Times New Roman"/>
          <w:b/>
          <w:color w:val="0000FF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>For the following beneficiaries/linked third parties, the amounts per unit (hourly rate) are fixed as follows: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9E4D41" w:rsidRDefault="00EB01BF">
      <w:pPr>
        <w:numPr>
          <w:ilvl w:val="0"/>
          <w:numId w:val="2"/>
        </w:numPr>
        <w:spacing w:after="8" w:line="249" w:lineRule="auto"/>
        <w:ind w:right="50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beneficiary/linked third party [short name]: EUR [insert amount] </w:t>
      </w:r>
    </w:p>
    <w:p w:rsidR="009E4D41" w:rsidRDefault="00EB01BF">
      <w:pPr>
        <w:numPr>
          <w:ilvl w:val="0"/>
          <w:numId w:val="2"/>
        </w:numPr>
        <w:spacing w:after="0" w:line="249" w:lineRule="auto"/>
        <w:ind w:right="50" w:hanging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771093</wp:posOffset>
                </wp:positionH>
                <wp:positionV relativeFrom="paragraph">
                  <wp:posOffset>-148185</wp:posOffset>
                </wp:positionV>
                <wp:extent cx="3440303" cy="437693"/>
                <wp:effectExtent l="0" t="0" r="0" b="0"/>
                <wp:wrapNone/>
                <wp:docPr id="56660" name="Group 56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0303" cy="437693"/>
                          <a:chOff x="0" y="0"/>
                          <a:chExt cx="3440303" cy="437693"/>
                        </a:xfrm>
                      </wpg:grpSpPr>
                      <wps:wsp>
                        <wps:cNvPr id="76672" name="Shape 76672"/>
                        <wps:cNvSpPr/>
                        <wps:spPr>
                          <a:xfrm>
                            <a:off x="1748409" y="0"/>
                            <a:ext cx="559308" cy="14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08" h="146610">
                                <a:moveTo>
                                  <a:pt x="0" y="0"/>
                                </a:moveTo>
                                <a:lnTo>
                                  <a:pt x="559308" y="0"/>
                                </a:lnTo>
                                <a:lnTo>
                                  <a:pt x="559308" y="146610"/>
                                </a:lnTo>
                                <a:lnTo>
                                  <a:pt x="0" y="146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73" name="Shape 76673"/>
                        <wps:cNvSpPr/>
                        <wps:spPr>
                          <a:xfrm>
                            <a:off x="2745359" y="0"/>
                            <a:ext cx="694944" cy="14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 h="146610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  <a:lnTo>
                                  <a:pt x="694944" y="146610"/>
                                </a:lnTo>
                                <a:lnTo>
                                  <a:pt x="0" y="146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74" name="Shape 76674"/>
                        <wps:cNvSpPr/>
                        <wps:spPr>
                          <a:xfrm>
                            <a:off x="1748409" y="146610"/>
                            <a:ext cx="55930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08" h="144780">
                                <a:moveTo>
                                  <a:pt x="0" y="0"/>
                                </a:moveTo>
                                <a:lnTo>
                                  <a:pt x="559308" y="0"/>
                                </a:lnTo>
                                <a:lnTo>
                                  <a:pt x="559308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75" name="Shape 76675"/>
                        <wps:cNvSpPr/>
                        <wps:spPr>
                          <a:xfrm>
                            <a:off x="2745359" y="146610"/>
                            <a:ext cx="6949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 h="144780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  <a:lnTo>
                                  <a:pt x="6949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76" name="Shape 76676"/>
                        <wps:cNvSpPr/>
                        <wps:spPr>
                          <a:xfrm>
                            <a:off x="0" y="291389"/>
                            <a:ext cx="307301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019" h="146304">
                                <a:moveTo>
                                  <a:pt x="0" y="0"/>
                                </a:moveTo>
                                <a:lnTo>
                                  <a:pt x="3073019" y="0"/>
                                </a:lnTo>
                                <a:lnTo>
                                  <a:pt x="3073019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660" style="width:270.89pt;height:34.4641pt;position:absolute;z-index:-2147483394;mso-position-horizontal-relative:text;mso-position-horizontal:absolute;margin-left:60.716pt;mso-position-vertical-relative:text;margin-top:-11.6682pt;" coordsize="34403,4376">
                <v:shape id="Shape 76677" style="position:absolute;width:5593;height:1466;left:17484;top:0;" coordsize="559308,146610" path="m0,0l559308,0l559308,146610l0,146610l0,0">
                  <v:stroke weight="0pt" endcap="flat" joinstyle="miter" miterlimit="10" on="false" color="#000000" opacity="0"/>
                  <v:fill on="true" color="#d3d3d3"/>
                </v:shape>
                <v:shape id="Shape 76678" style="position:absolute;width:6949;height:1466;left:27453;top:0;" coordsize="694944,146610" path="m0,0l694944,0l694944,146610l0,146610l0,0">
                  <v:stroke weight="0pt" endcap="flat" joinstyle="miter" miterlimit="10" on="false" color="#000000" opacity="0"/>
                  <v:fill on="true" color="#d3d3d3"/>
                </v:shape>
                <v:shape id="Shape 76679" style="position:absolute;width:5593;height:1447;left:17484;top:1466;" coordsize="559308,144780" path="m0,0l559308,0l559308,144780l0,144780l0,0">
                  <v:stroke weight="0pt" endcap="flat" joinstyle="miter" miterlimit="10" on="false" color="#000000" opacity="0"/>
                  <v:fill on="true" color="#d3d3d3"/>
                </v:shape>
                <v:shape id="Shape 76680" style="position:absolute;width:6949;height:1447;left:27453;top:1466;" coordsize="694944,144780" path="m0,0l694944,0l694944,144780l0,144780l0,0">
                  <v:stroke weight="0pt" endcap="flat" joinstyle="miter" miterlimit="10" on="false" color="#000000" opacity="0"/>
                  <v:fill on="true" color="#d3d3d3"/>
                </v:shape>
                <v:shape id="Shape 76681" style="position:absolute;width:30730;height:1463;left:0;top:2913;" coordsize="3073019,146304" path="m0,0l3073019,0l3073019,146304l0,146304l0,0">
                  <v:stroke weight="0pt" endcap="flat" joinstyle="miter" miterlimit="10" on="false" color="#000000" opacity="0"/>
                  <v:fill on="true" color="#d3d3d3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beneficiary/linked third party [short name]: EUR [insert amount] [same for other beneficiaries/linked third parties, if necessary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] </w:t>
      </w:r>
      <w:r>
        <w:rPr>
          <w:rFonts w:ascii="Times New Roman" w:eastAsia="Times New Roman" w:hAnsi="Times New Roman" w:cs="Times New Roman"/>
          <w:b/>
          <w:i/>
          <w:color w:val="0088CC"/>
          <w:sz w:val="20"/>
        </w:rPr>
        <w:t>]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E4D41" w:rsidRDefault="00EB01BF">
      <w:pPr>
        <w:spacing w:after="0"/>
        <w:ind w:left="108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E4D41" w:rsidRDefault="00EB01BF">
      <w:pPr>
        <w:spacing w:after="180"/>
        <w:ind w:left="-5" w:hanging="10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Estimated number of units</w:t>
      </w:r>
      <w:r>
        <w:rPr>
          <w:rFonts w:ascii="Times New Roman" w:eastAsia="Times New Roman" w:hAnsi="Times New Roman" w:cs="Times New Roman"/>
          <w:sz w:val="20"/>
        </w:rPr>
        <w:t xml:space="preserve">: see Annex 2 </w:t>
      </w:r>
    </w:p>
    <w:p w:rsidR="009E4D41" w:rsidRDefault="00EB01BF">
      <w:pPr>
        <w:spacing w:after="2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E4D41" w:rsidRDefault="009E4D41">
      <w:pPr>
        <w:spacing w:after="182"/>
      </w:pPr>
    </w:p>
    <w:p w:rsidR="009E4D41" w:rsidRDefault="00EB01BF">
      <w:pPr>
        <w:pStyle w:val="Heading1"/>
        <w:ind w:left="-5"/>
      </w:pPr>
      <w:r>
        <w:lastRenderedPageBreak/>
        <w:t>Energy efficiency measures unit cost</w:t>
      </w:r>
      <w:r>
        <w:rPr>
          <w:u w:val="none"/>
        </w:rPr>
        <w:t xml:space="preserve"> </w:t>
      </w:r>
    </w:p>
    <w:p w:rsidR="009E4D41" w:rsidRDefault="00522F88">
      <w:pPr>
        <w:pStyle w:val="Heading2"/>
        <w:ind w:left="-5" w:right="0"/>
      </w:pPr>
      <w:r>
        <w:rPr>
          <w:color w:val="0088CC"/>
        </w:rPr>
        <w:t>2</w:t>
      </w:r>
      <w:r w:rsidR="00EB01BF">
        <w:rPr>
          <w:color w:val="0088CC"/>
        </w:rPr>
        <w:t>.</w:t>
      </w:r>
      <w:r w:rsidR="00EB01BF">
        <w:t xml:space="preserve"> Costs for energy efficiency measures in buildings</w:t>
      </w:r>
      <w:r w:rsidR="00EB01BF">
        <w:rPr>
          <w:b w:val="0"/>
        </w:rPr>
        <w:t xml:space="preserve"> </w:t>
      </w:r>
    </w:p>
    <w:p w:rsidR="009E4D41" w:rsidRDefault="00EB01BF">
      <w:pPr>
        <w:spacing w:after="159" w:line="249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Unit: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m</w:t>
      </w:r>
      <w:r>
        <w:rPr>
          <w:rFonts w:ascii="Times New Roman" w:eastAsia="Times New Roman" w:hAnsi="Times New Roman" w:cs="Times New Roman"/>
          <w:sz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of eligible ‘conditioned’ (i.e. built or refurbished) floor area  </w:t>
      </w:r>
    </w:p>
    <w:p w:rsidR="009E4D41" w:rsidRDefault="00EB01BF">
      <w:pPr>
        <w:spacing w:after="187" w:line="249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Amount per unit*:</w:t>
      </w:r>
      <w:r>
        <w:rPr>
          <w:rFonts w:ascii="Times New Roman" w:eastAsia="Times New Roman" w:hAnsi="Times New Roman" w:cs="Times New Roman"/>
          <w:sz w:val="20"/>
        </w:rPr>
        <w:t xml:space="preserve">  see (for each beneficiary/linked third party and BEST table) the ‘unit cost table’ attached </w:t>
      </w:r>
    </w:p>
    <w:p w:rsidR="009E4D41" w:rsidRDefault="00EB01BF">
      <w:pPr>
        <w:spacing w:after="4" w:line="249" w:lineRule="auto"/>
        <w:ind w:left="370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* Amount calculated as follows: </w:t>
      </w:r>
    </w:p>
    <w:p w:rsidR="009E4D41" w:rsidRDefault="00EB01BF">
      <w:pPr>
        <w:spacing w:after="209" w:line="249" w:lineRule="auto"/>
        <w:ind w:left="730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{EUR 0.1 x estimated total kWh saved per m² per year x 10} </w:t>
      </w:r>
    </w:p>
    <w:p w:rsidR="009E4D41" w:rsidRDefault="00EB01BF">
      <w:pPr>
        <w:spacing w:after="155" w:line="249" w:lineRule="auto"/>
        <w:ind w:left="2385" w:right="52" w:hanging="2400"/>
        <w:jc w:val="both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Estimated number of units:</w:t>
      </w:r>
      <w:r>
        <w:rPr>
          <w:rFonts w:ascii="Times New Roman" w:eastAsia="Times New Roman" w:hAnsi="Times New Roman" w:cs="Times New Roman"/>
          <w:sz w:val="20"/>
        </w:rPr>
        <w:t xml:space="preserve"> see (for each beneficiary/linked third party and BEST table) the ‘unit cost table’ attached </w:t>
      </w:r>
    </w:p>
    <w:p w:rsidR="009E4D41" w:rsidRDefault="00EB01BF" w:rsidP="00522F88">
      <w:pPr>
        <w:spacing w:after="203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Unit cost table (energy efficiency measures unit cost)</w:t>
      </w:r>
      <w:r>
        <w:rPr>
          <w:rFonts w:ascii="Times New Roman" w:eastAsia="Times New Roman" w:hAnsi="Times New Roman" w:cs="Times New Roman"/>
          <w:b/>
          <w:sz w:val="1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8894" w:type="dxa"/>
        <w:tblInd w:w="427" w:type="dxa"/>
        <w:tblCellMar>
          <w:top w:w="8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41"/>
        <w:gridCol w:w="1200"/>
        <w:gridCol w:w="1731"/>
        <w:gridCol w:w="1687"/>
        <w:gridCol w:w="1635"/>
      </w:tblGrid>
      <w:tr w:rsidR="009E4D41">
        <w:trPr>
          <w:trHeight w:val="754"/>
        </w:trPr>
        <w:tc>
          <w:tcPr>
            <w:tcW w:w="264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Short name benefi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ciary/linked third party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BEST No  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Amount per unit  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Estimated No of units 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Total unit cost </w:t>
            </w:r>
          </w:p>
          <w:p w:rsidR="009E4D41" w:rsidRDefault="00EB01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(cost per unit x estimated no of units)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9E4D41">
        <w:trPr>
          <w:trHeight w:val="398"/>
        </w:trPr>
        <w:tc>
          <w:tcPr>
            <w:tcW w:w="264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4D41">
        <w:trPr>
          <w:trHeight w:val="396"/>
        </w:trPr>
        <w:tc>
          <w:tcPr>
            <w:tcW w:w="26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4D41">
        <w:trPr>
          <w:trHeight w:val="401"/>
        </w:trPr>
        <w:tc>
          <w:tcPr>
            <w:tcW w:w="26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522F88" w:rsidRDefault="00522F88">
      <w:pPr>
        <w:pStyle w:val="Heading1"/>
        <w:ind w:left="-5"/>
      </w:pPr>
    </w:p>
    <w:p w:rsidR="009E4D41" w:rsidRDefault="00EB01BF">
      <w:pPr>
        <w:pStyle w:val="Heading1"/>
        <w:ind w:left="-5"/>
      </w:pPr>
      <w:r>
        <w:t>Research infrastructure unit cost</w:t>
      </w:r>
      <w:r>
        <w:rPr>
          <w:u w:val="none"/>
        </w:rPr>
        <w:t xml:space="preserve"> </w:t>
      </w:r>
    </w:p>
    <w:p w:rsidR="009E4D41" w:rsidRDefault="00522F88">
      <w:pPr>
        <w:pStyle w:val="Heading2"/>
        <w:ind w:left="-5" w:right="0"/>
      </w:pPr>
      <w:r>
        <w:rPr>
          <w:color w:val="0088CC"/>
        </w:rPr>
        <w:t>3</w:t>
      </w:r>
      <w:r w:rsidR="00EB01BF">
        <w:rPr>
          <w:color w:val="0088CC"/>
        </w:rPr>
        <w:t>.</w:t>
      </w:r>
      <w:r w:rsidR="00EB01BF">
        <w:rPr>
          <w:color w:val="0000FF"/>
        </w:rPr>
        <w:t xml:space="preserve"> </w:t>
      </w:r>
      <w:r w:rsidR="00EB01BF">
        <w:t>Access costs for providing trans-</w:t>
      </w:r>
      <w:r w:rsidR="00EB01BF">
        <w:t>national access to research infrastructure</w:t>
      </w:r>
      <w:r w:rsidR="00EB01BF">
        <w:rPr>
          <w:i/>
        </w:rPr>
        <w:t xml:space="preserve"> </w:t>
      </w:r>
    </w:p>
    <w:p w:rsidR="009E4D41" w:rsidRDefault="00EB01BF">
      <w:pPr>
        <w:spacing w:after="210" w:line="249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Units</w:t>
      </w:r>
      <w:r>
        <w:rPr>
          <w:rFonts w:ascii="Times New Roman" w:eastAsia="Times New Roman" w:hAnsi="Times New Roman" w:cs="Times New Roman"/>
          <w:color w:val="0088CC"/>
          <w:sz w:val="20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0"/>
        </w:rPr>
        <w:t xml:space="preserve">: see (for each access provider and installation) the ‘unit cost table’ attached </w:t>
      </w:r>
    </w:p>
    <w:p w:rsidR="009E4D41" w:rsidRDefault="00EB01BF">
      <w:pPr>
        <w:spacing w:after="187" w:line="249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Amount per unit*:</w:t>
      </w:r>
      <w:r>
        <w:rPr>
          <w:rFonts w:ascii="Times New Roman" w:eastAsia="Times New Roman" w:hAnsi="Times New Roman" w:cs="Times New Roman"/>
          <w:sz w:val="20"/>
        </w:rPr>
        <w:t xml:space="preserve">  see (for each access provider and installation) the ‘unit cost table’ attached </w:t>
      </w:r>
    </w:p>
    <w:p w:rsidR="009E4D41" w:rsidRDefault="00EB01BF">
      <w:pPr>
        <w:spacing w:after="4" w:line="249" w:lineRule="auto"/>
        <w:ind w:left="370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* Amount calculated as follows: </w:t>
      </w:r>
    </w:p>
    <w:p w:rsidR="009E4D41" w:rsidRDefault="00EB01BF">
      <w:pPr>
        <w:spacing w:after="4" w:line="249" w:lineRule="auto"/>
        <w:ind w:left="730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>average annual total access cost to the installation (over past two years</w:t>
      </w:r>
      <w:r>
        <w:rPr>
          <w:rFonts w:ascii="Times New Roman" w:eastAsia="Times New Roman" w:hAnsi="Times New Roman" w:cs="Times New Roman"/>
          <w:color w:val="0088CC"/>
          <w:sz w:val="18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18"/>
        </w:rPr>
        <w:t xml:space="preserve">) </w:t>
      </w:r>
    </w:p>
    <w:p w:rsidR="009E4D41" w:rsidRDefault="00EB01BF">
      <w:pPr>
        <w:spacing w:after="423" w:line="265" w:lineRule="auto"/>
        <w:ind w:left="715" w:hanging="10"/>
      </w:pPr>
      <w:r>
        <w:rPr>
          <w:rFonts w:ascii="Times New Roman" w:eastAsia="Times New Roman" w:hAnsi="Times New Roman" w:cs="Times New Roman"/>
          <w:sz w:val="18"/>
        </w:rPr>
        <w:t xml:space="preserve">average annual </w:t>
      </w:r>
      <w:r>
        <w:rPr>
          <w:rFonts w:ascii="Times New Roman" w:eastAsia="Times New Roman" w:hAnsi="Times New Roman" w:cs="Times New Roman"/>
          <w:sz w:val="4"/>
          <w:u w:val="single" w:color="000000"/>
        </w:rPr>
        <w:t>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</w:rPr>
        <w:t xml:space="preserve">total </w:t>
      </w:r>
      <w:r>
        <w:rPr>
          <w:rFonts w:ascii="Times New Roman" w:eastAsia="Times New Roman" w:hAnsi="Times New Roman" w:cs="Times New Roman"/>
          <w:sz w:val="18"/>
        </w:rPr>
        <w:t xml:space="preserve">quantity of access to the installation </w:t>
      </w:r>
      <w:r>
        <w:rPr>
          <w:rFonts w:ascii="Times New Roman" w:eastAsia="Times New Roman" w:hAnsi="Times New Roman" w:cs="Times New Roman"/>
          <w:sz w:val="4"/>
          <w:u w:val="single" w:color="000000"/>
        </w:rPr>
        <w:t>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</w:rPr>
        <w:t>(over past two years</w:t>
      </w:r>
      <w:r>
        <w:rPr>
          <w:rFonts w:ascii="Times New Roman" w:eastAsia="Times New Roman" w:hAnsi="Times New Roman" w:cs="Times New Roman"/>
          <w:sz w:val="4"/>
          <w:u w:val="single" w:color="000000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88CC"/>
          <w:sz w:val="18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18"/>
        </w:rPr>
        <w:t xml:space="preserve">) </w:t>
      </w:r>
      <w:r>
        <w:rPr>
          <w:rFonts w:ascii="Times New Roman" w:eastAsia="Times New Roman" w:hAnsi="Times New Roman" w:cs="Times New Roman"/>
          <w:i/>
          <w:sz w:val="4"/>
        </w:rPr>
        <w:t xml:space="preserve"> </w:t>
      </w:r>
    </w:p>
    <w:p w:rsidR="009E4D41" w:rsidRDefault="00EB01BF">
      <w:pPr>
        <w:spacing w:after="113" w:line="249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Estimated number of u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nits:</w:t>
      </w:r>
      <w:r>
        <w:rPr>
          <w:rFonts w:ascii="Times New Roman" w:eastAsia="Times New Roman" w:hAnsi="Times New Roman" w:cs="Times New Roman"/>
          <w:sz w:val="20"/>
        </w:rPr>
        <w:t xml:space="preserve"> see (for each access provider and installation) the ‘unit cost table’ attached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4D41" w:rsidRDefault="00EB01BF" w:rsidP="00522F88">
      <w:pPr>
        <w:spacing w:after="202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Unit cost table (access to research infrastructure unit cost)</w:t>
      </w:r>
      <w:r>
        <w:rPr>
          <w:rFonts w:ascii="Times New Roman" w:eastAsia="Times New Roman" w:hAnsi="Times New Roman" w:cs="Times New Roman"/>
          <w:b/>
          <w:sz w:val="18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8894" w:type="dxa"/>
        <w:tblInd w:w="427" w:type="dxa"/>
        <w:tblCellMar>
          <w:top w:w="8" w:type="dxa"/>
          <w:left w:w="96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1320"/>
        <w:gridCol w:w="961"/>
        <w:gridCol w:w="480"/>
        <w:gridCol w:w="1560"/>
        <w:gridCol w:w="840"/>
        <w:gridCol w:w="1200"/>
        <w:gridCol w:w="1321"/>
        <w:gridCol w:w="1212"/>
      </w:tblGrid>
      <w:tr w:rsidR="009E4D41">
        <w:trPr>
          <w:trHeight w:val="526"/>
        </w:trPr>
        <w:tc>
          <w:tcPr>
            <w:tcW w:w="13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2" w:right="7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Short name access provider </w:t>
            </w:r>
          </w:p>
        </w:tc>
        <w:tc>
          <w:tcPr>
            <w:tcW w:w="96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Short name </w:t>
            </w:r>
          </w:p>
          <w:p w:rsidR="009E4D41" w:rsidRDefault="00EB01B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infrastru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cture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D41" w:rsidRDefault="009E4D41"/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Installation </w:t>
            </w:r>
          </w:p>
        </w:tc>
        <w:tc>
          <w:tcPr>
            <w:tcW w:w="8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86" w:hanging="3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Unit of access </w:t>
            </w: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Amount per </w:t>
            </w:r>
          </w:p>
          <w:p w:rsidR="009E4D41" w:rsidRDefault="00EB01BF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unit </w:t>
            </w:r>
          </w:p>
        </w:tc>
        <w:tc>
          <w:tcPr>
            <w:tcW w:w="13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Estimated No of units </w:t>
            </w:r>
          </w:p>
        </w:tc>
        <w:tc>
          <w:tcPr>
            <w:tcW w:w="121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9E4D41" w:rsidRDefault="00EB01BF">
            <w:pPr>
              <w:spacing w:after="4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Total unit </w:t>
            </w:r>
          </w:p>
          <w:p w:rsidR="009E4D41" w:rsidRDefault="00EB01BF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cost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(cost per </w:t>
            </w:r>
          </w:p>
          <w:p w:rsidR="009E4D41" w:rsidRDefault="00EB01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unit x estimated no of units)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9E4D41">
        <w:trPr>
          <w:trHeight w:val="6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9E4D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9E4D41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No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Short name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9E4D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9E4D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9E4D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9E4D41" w:rsidRDefault="009E4D41"/>
        </w:tc>
      </w:tr>
      <w:tr w:rsidR="009E4D41">
        <w:trPr>
          <w:trHeight w:val="401"/>
        </w:trPr>
        <w:tc>
          <w:tcPr>
            <w:tcW w:w="132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4D41">
        <w:trPr>
          <w:trHeight w:val="394"/>
        </w:trPr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4D41">
        <w:trPr>
          <w:trHeight w:val="403"/>
        </w:trPr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9E4D41" w:rsidRDefault="00EB01BF">
      <w:pPr>
        <w:spacing w:after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4D41" w:rsidRDefault="00EB01BF">
      <w:pPr>
        <w:spacing w:after="172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9E4D41" w:rsidRDefault="00EB01BF">
      <w:pPr>
        <w:pStyle w:val="Heading1"/>
        <w:ind w:left="-5"/>
      </w:pPr>
      <w:r>
        <w:t>Clinical studies unit cost</w:t>
      </w:r>
      <w:r>
        <w:rPr>
          <w:u w:val="none"/>
          <w:vertAlign w:val="superscript"/>
        </w:rPr>
        <w:t xml:space="preserve"> </w:t>
      </w:r>
      <w:r>
        <w:rPr>
          <w:u w:val="none"/>
        </w:rPr>
        <w:t xml:space="preserve"> </w:t>
      </w:r>
    </w:p>
    <w:p w:rsidR="009E4D41" w:rsidRDefault="00522F88">
      <w:pPr>
        <w:pStyle w:val="Heading2"/>
        <w:spacing w:after="134"/>
        <w:ind w:left="-5" w:right="0"/>
      </w:pPr>
      <w:r>
        <w:rPr>
          <w:color w:val="0088CC"/>
        </w:rPr>
        <w:t>4</w:t>
      </w:r>
      <w:r w:rsidR="00EB01BF">
        <w:rPr>
          <w:color w:val="0088CC"/>
        </w:rPr>
        <w:t>.</w:t>
      </w:r>
      <w:r w:rsidR="00EB01BF">
        <w:t xml:space="preserve"> Costs for clinical studies </w:t>
      </w:r>
    </w:p>
    <w:p w:rsidR="009E4D41" w:rsidRDefault="00EB01BF">
      <w:pPr>
        <w:spacing w:after="142" w:line="249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Units</w:t>
      </w:r>
      <w:r>
        <w:rPr>
          <w:rFonts w:ascii="Times New Roman" w:eastAsia="Times New Roman" w:hAnsi="Times New Roman" w:cs="Times New Roman"/>
          <w:sz w:val="20"/>
        </w:rPr>
        <w:t xml:space="preserve">: patients/subjects that participate in the clinical study  </w:t>
      </w:r>
    </w:p>
    <w:p w:rsidR="009E4D41" w:rsidRDefault="00EB01BF">
      <w:pPr>
        <w:spacing w:after="187" w:line="249" w:lineRule="auto"/>
        <w:ind w:left="3106" w:right="52" w:hanging="3121"/>
        <w:jc w:val="both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Amount per unit*</w:t>
      </w:r>
      <w:r>
        <w:rPr>
          <w:rFonts w:ascii="Times New Roman" w:eastAsia="Times New Roman" w:hAnsi="Times New Roman" w:cs="Times New Roman"/>
          <w:sz w:val="20"/>
        </w:rPr>
        <w:t xml:space="preserve">: see (for each sequence (if any), clinical study and beneficiary/linked third party) the ‘unit cost table’ attached </w:t>
      </w:r>
    </w:p>
    <w:p w:rsidR="009E4D41" w:rsidRDefault="00EB01BF">
      <w:pPr>
        <w:spacing w:after="260" w:line="249" w:lineRule="auto"/>
        <w:ind w:left="370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* Amount calculated, for the cost components of each task, as follows: </w:t>
      </w:r>
    </w:p>
    <w:p w:rsidR="009E4D41" w:rsidRDefault="00EB01BF">
      <w:pPr>
        <w:spacing w:after="134"/>
        <w:ind w:left="1090" w:hanging="10"/>
      </w:pPr>
      <w:r>
        <w:rPr>
          <w:rFonts w:ascii="Times New Roman" w:eastAsia="Times New Roman" w:hAnsi="Times New Roman" w:cs="Times New Roman"/>
          <w:sz w:val="18"/>
        </w:rPr>
        <w:t xml:space="preserve">For </w:t>
      </w:r>
      <w:r>
        <w:rPr>
          <w:rFonts w:ascii="Times New Roman" w:eastAsia="Times New Roman" w:hAnsi="Times New Roman" w:cs="Times New Roman"/>
          <w:b/>
          <w:sz w:val="18"/>
        </w:rPr>
        <w:t>personnel costs</w:t>
      </w:r>
      <w:r>
        <w:rPr>
          <w:rFonts w:ascii="Times New Roman" w:eastAsia="Times New Roman" w:hAnsi="Times New Roman" w:cs="Times New Roman"/>
          <w:sz w:val="18"/>
        </w:rPr>
        <w:t xml:space="preserve">:  </w:t>
      </w:r>
    </w:p>
    <w:p w:rsidR="009E4D41" w:rsidRDefault="00EB01BF">
      <w:pPr>
        <w:spacing w:after="109" w:line="249" w:lineRule="auto"/>
        <w:ind w:left="1450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For personnel costs of doctors: ‘average hourly cost for doctors’, i.e.: </w:t>
      </w:r>
    </w:p>
    <w:p w:rsidR="009E4D41" w:rsidRDefault="00EB01BF">
      <w:pPr>
        <w:spacing w:after="4" w:line="249" w:lineRule="auto"/>
        <w:ind w:left="1795" w:right="50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>{</w:t>
      </w:r>
      <w:r>
        <w:rPr>
          <w:rFonts w:ascii="Times New Roman" w:eastAsia="Times New Roman" w:hAnsi="Times New Roman" w:cs="Times New Roman"/>
          <w:sz w:val="18"/>
        </w:rPr>
        <w:t xml:space="preserve">certified or auditable total personnel costs for doctors for year N-1  </w:t>
      </w:r>
    </w:p>
    <w:p w:rsidR="009E4D41" w:rsidRDefault="00EB01BF">
      <w:pPr>
        <w:spacing w:after="82"/>
        <w:ind w:left="1795" w:hanging="10"/>
      </w:pPr>
      <w:r>
        <w:rPr>
          <w:rFonts w:ascii="Times New Roman" w:eastAsia="Times New Roman" w:hAnsi="Times New Roman" w:cs="Times New Roman"/>
          <w:b/>
          <w:sz w:val="8"/>
        </w:rPr>
        <w:t>______________</w:t>
      </w:r>
      <w:r>
        <w:rPr>
          <w:rFonts w:ascii="Times New Roman" w:eastAsia="Times New Roman" w:hAnsi="Times New Roman" w:cs="Times New Roman"/>
          <w:b/>
          <w:sz w:val="8"/>
        </w:rPr>
        <w:t xml:space="preserve">___________________________________________________________________________________________________________________________________________________________________ </w:t>
      </w:r>
    </w:p>
    <w:p w:rsidR="009E4D41" w:rsidRDefault="00EB01BF">
      <w:pPr>
        <w:spacing w:after="4" w:line="249" w:lineRule="auto"/>
        <w:ind w:left="1795" w:right="1750" w:hanging="10"/>
        <w:jc w:val="both"/>
      </w:pPr>
      <w:r>
        <w:rPr>
          <w:rFonts w:ascii="Times New Roman" w:eastAsia="Times New Roman" w:hAnsi="Times New Roman" w:cs="Times New Roman"/>
          <w:sz w:val="18"/>
        </w:rPr>
        <w:t>{1720 * number of full-time-equivalent for doctors for year N-1</w:t>
      </w:r>
      <w:proofErr w:type="gramStart"/>
      <w:r>
        <w:rPr>
          <w:rFonts w:ascii="Times New Roman" w:eastAsia="Times New Roman" w:hAnsi="Times New Roman" w:cs="Times New Roman"/>
          <w:sz w:val="18"/>
        </w:rPr>
        <w:t>}  multiplied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by </w:t>
      </w:r>
    </w:p>
    <w:p w:rsidR="009E4D41" w:rsidRDefault="00EB01BF">
      <w:pPr>
        <w:spacing w:after="130" w:line="249" w:lineRule="auto"/>
        <w:ind w:left="1795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estimated </w:t>
      </w:r>
      <w:r>
        <w:rPr>
          <w:rFonts w:ascii="Times New Roman" w:eastAsia="Times New Roman" w:hAnsi="Times New Roman" w:cs="Times New Roman"/>
          <w:sz w:val="18"/>
        </w:rPr>
        <w:t>number of hours to be worked by doctors for the task (per participant)</w:t>
      </w:r>
      <w:r>
        <w:rPr>
          <w:rFonts w:ascii="Times New Roman" w:eastAsia="Times New Roman" w:hAnsi="Times New Roman" w:cs="Times New Roman"/>
          <w:b/>
          <w:sz w:val="18"/>
        </w:rPr>
        <w:t>}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E4D41" w:rsidRDefault="00EB01BF">
      <w:pPr>
        <w:spacing w:after="101"/>
        <w:ind w:right="329"/>
        <w:jc w:val="right"/>
      </w:pPr>
      <w:r>
        <w:rPr>
          <w:rFonts w:ascii="Times New Roman" w:eastAsia="Times New Roman" w:hAnsi="Times New Roman" w:cs="Times New Roman"/>
          <w:sz w:val="18"/>
        </w:rPr>
        <w:t>For personnel costs of other medical personnel:</w:t>
      </w:r>
      <w:r>
        <w:rPr>
          <w:rFonts w:ascii="Times New Roman" w:eastAsia="Times New Roman" w:hAnsi="Times New Roman" w:cs="Times New Roman"/>
          <w:b/>
          <w:sz w:val="18"/>
        </w:rPr>
        <w:t xml:space="preserve"> ‘</w:t>
      </w:r>
      <w:r>
        <w:rPr>
          <w:rFonts w:ascii="Times New Roman" w:eastAsia="Times New Roman" w:hAnsi="Times New Roman" w:cs="Times New Roman"/>
          <w:sz w:val="18"/>
        </w:rPr>
        <w:t xml:space="preserve">average hourly cost for other medical personnel’, i.e.: </w:t>
      </w:r>
    </w:p>
    <w:p w:rsidR="009E4D41" w:rsidRDefault="00EB01BF">
      <w:pPr>
        <w:spacing w:after="4" w:line="249" w:lineRule="auto"/>
        <w:ind w:left="1795" w:right="50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>{</w:t>
      </w:r>
      <w:r>
        <w:rPr>
          <w:rFonts w:ascii="Times New Roman" w:eastAsia="Times New Roman" w:hAnsi="Times New Roman" w:cs="Times New Roman"/>
          <w:sz w:val="18"/>
        </w:rPr>
        <w:t>certified or auditable total personnel costs for other medical personnel for</w:t>
      </w:r>
      <w:r>
        <w:rPr>
          <w:rFonts w:ascii="Times New Roman" w:eastAsia="Times New Roman" w:hAnsi="Times New Roman" w:cs="Times New Roman"/>
          <w:sz w:val="18"/>
        </w:rPr>
        <w:t xml:space="preserve"> year N-1  </w:t>
      </w:r>
    </w:p>
    <w:p w:rsidR="009E4D41" w:rsidRDefault="00EB01BF">
      <w:pPr>
        <w:spacing w:after="0"/>
        <w:ind w:left="1795" w:hanging="10"/>
      </w:pPr>
      <w:r>
        <w:rPr>
          <w:rFonts w:ascii="Times New Roman" w:eastAsia="Times New Roman" w:hAnsi="Times New Roman" w:cs="Times New Roman"/>
          <w:b/>
          <w:sz w:val="8"/>
        </w:rPr>
        <w:t>____________________________________________________________________________________________________________________________________________________________________________________</w:t>
      </w:r>
    </w:p>
    <w:p w:rsidR="009E4D41" w:rsidRDefault="00EB01BF">
      <w:pPr>
        <w:spacing w:after="82"/>
        <w:ind w:left="1795" w:hanging="10"/>
      </w:pPr>
      <w:r>
        <w:rPr>
          <w:rFonts w:ascii="Times New Roman" w:eastAsia="Times New Roman" w:hAnsi="Times New Roman" w:cs="Times New Roman"/>
          <w:b/>
          <w:sz w:val="8"/>
        </w:rPr>
        <w:t xml:space="preserve">_ </w:t>
      </w:r>
    </w:p>
    <w:p w:rsidR="009E4D41" w:rsidRDefault="00EB01BF">
      <w:pPr>
        <w:spacing w:after="4" w:line="249" w:lineRule="auto"/>
        <w:ind w:left="1795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>{1720 * number of full-time-</w:t>
      </w:r>
      <w:r>
        <w:rPr>
          <w:rFonts w:ascii="Times New Roman" w:eastAsia="Times New Roman" w:hAnsi="Times New Roman" w:cs="Times New Roman"/>
          <w:sz w:val="18"/>
        </w:rPr>
        <w:t xml:space="preserve">equivalent for other medical personnel for year N-1}  </w:t>
      </w:r>
    </w:p>
    <w:p w:rsidR="009E4D41" w:rsidRDefault="00EB01BF">
      <w:pPr>
        <w:spacing w:after="4" w:line="249" w:lineRule="auto"/>
        <w:ind w:left="1795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multiplied by </w:t>
      </w:r>
    </w:p>
    <w:p w:rsidR="009E4D41" w:rsidRDefault="00EB01BF">
      <w:pPr>
        <w:spacing w:after="130" w:line="249" w:lineRule="auto"/>
        <w:ind w:left="1795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>estimated number of hours to be worked by other medical personnel for the task (per participant)</w:t>
      </w:r>
      <w:r>
        <w:rPr>
          <w:rFonts w:ascii="Times New Roman" w:eastAsia="Times New Roman" w:hAnsi="Times New Roman" w:cs="Times New Roman"/>
          <w:b/>
          <w:sz w:val="18"/>
        </w:rPr>
        <w:t>}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E4D41" w:rsidRDefault="00EB01BF">
      <w:pPr>
        <w:spacing w:after="109" w:line="249" w:lineRule="auto"/>
        <w:ind w:left="1388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>For personnel costs of technical personnel:</w:t>
      </w:r>
      <w:r>
        <w:rPr>
          <w:rFonts w:ascii="Times New Roman" w:eastAsia="Times New Roman" w:hAnsi="Times New Roman" w:cs="Times New Roman"/>
          <w:b/>
          <w:sz w:val="18"/>
        </w:rPr>
        <w:t xml:space="preserve"> ‘</w:t>
      </w:r>
      <w:r>
        <w:rPr>
          <w:rFonts w:ascii="Times New Roman" w:eastAsia="Times New Roman" w:hAnsi="Times New Roman" w:cs="Times New Roman"/>
          <w:sz w:val="18"/>
        </w:rPr>
        <w:t xml:space="preserve">average hourly cost for technical personnel’, i.e.: </w:t>
      </w:r>
    </w:p>
    <w:p w:rsidR="009E4D41" w:rsidRDefault="00EB01BF">
      <w:pPr>
        <w:spacing w:after="4" w:line="249" w:lineRule="auto"/>
        <w:ind w:left="1795" w:right="50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>{</w:t>
      </w:r>
      <w:r>
        <w:rPr>
          <w:rFonts w:ascii="Times New Roman" w:eastAsia="Times New Roman" w:hAnsi="Times New Roman" w:cs="Times New Roman"/>
          <w:sz w:val="18"/>
        </w:rPr>
        <w:t xml:space="preserve">certified or auditable total personnel costs for technical personnel for year N-1  </w:t>
      </w:r>
    </w:p>
    <w:p w:rsidR="009E4D41" w:rsidRDefault="00EB01BF">
      <w:pPr>
        <w:spacing w:after="0"/>
        <w:ind w:left="1795" w:hanging="10"/>
      </w:pPr>
      <w:r>
        <w:rPr>
          <w:rFonts w:ascii="Times New Roman" w:eastAsia="Times New Roman" w:hAnsi="Times New Roman" w:cs="Times New Roman"/>
          <w:b/>
          <w:sz w:val="8"/>
        </w:rPr>
        <w:t>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8"/>
        </w:rPr>
        <w:t>______________________________________________________________</w:t>
      </w:r>
    </w:p>
    <w:p w:rsidR="009E4D41" w:rsidRDefault="00EB01BF">
      <w:pPr>
        <w:spacing w:after="82"/>
        <w:ind w:left="1795" w:hanging="10"/>
      </w:pPr>
      <w:r>
        <w:rPr>
          <w:rFonts w:ascii="Times New Roman" w:eastAsia="Times New Roman" w:hAnsi="Times New Roman" w:cs="Times New Roman"/>
          <w:b/>
          <w:sz w:val="8"/>
        </w:rPr>
        <w:t xml:space="preserve">_ </w:t>
      </w:r>
    </w:p>
    <w:p w:rsidR="009E4D41" w:rsidRDefault="00EB01BF">
      <w:pPr>
        <w:spacing w:after="4" w:line="249" w:lineRule="auto"/>
        <w:ind w:left="1795" w:right="886" w:hanging="10"/>
        <w:jc w:val="both"/>
      </w:pPr>
      <w:r>
        <w:rPr>
          <w:rFonts w:ascii="Times New Roman" w:eastAsia="Times New Roman" w:hAnsi="Times New Roman" w:cs="Times New Roman"/>
          <w:sz w:val="18"/>
        </w:rPr>
        <w:t>{1720 * number of full-time-equivalent for technical personnel for year N-1</w:t>
      </w:r>
      <w:proofErr w:type="gramStart"/>
      <w:r>
        <w:rPr>
          <w:rFonts w:ascii="Times New Roman" w:eastAsia="Times New Roman" w:hAnsi="Times New Roman" w:cs="Times New Roman"/>
          <w:sz w:val="18"/>
        </w:rPr>
        <w:t>}  multiplied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by </w:t>
      </w:r>
    </w:p>
    <w:p w:rsidR="009E4D41" w:rsidRDefault="00EB01BF">
      <w:pPr>
        <w:spacing w:after="111" w:line="249" w:lineRule="auto"/>
        <w:ind w:left="1795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>estimated number of hours to be worked by technical personnel for the task (per participant)</w:t>
      </w:r>
      <w:r>
        <w:rPr>
          <w:rFonts w:ascii="Times New Roman" w:eastAsia="Times New Roman" w:hAnsi="Times New Roman" w:cs="Times New Roman"/>
          <w:b/>
          <w:sz w:val="18"/>
        </w:rPr>
        <w:t>}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E4D41" w:rsidRDefault="00EB01BF">
      <w:pPr>
        <w:spacing w:after="129" w:line="249" w:lineRule="auto"/>
        <w:ind w:left="1080" w:right="50" w:firstLine="29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‘total personnel costs’ means actual salaries + actual social security contributions + actual taxes and other costs included in the remuneration, provided they arise from national law or the employment contract/equivalent appointing </w:t>
      </w:r>
      <w:proofErr w:type="gramStart"/>
      <w:r>
        <w:rPr>
          <w:rFonts w:ascii="Times New Roman" w:eastAsia="Times New Roman" w:hAnsi="Times New Roman" w:cs="Times New Roman"/>
          <w:sz w:val="18"/>
        </w:rPr>
        <w:t>act  For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consumables</w:t>
      </w:r>
      <w:r>
        <w:rPr>
          <w:rFonts w:ascii="Times New Roman" w:eastAsia="Times New Roman" w:hAnsi="Times New Roman" w:cs="Times New Roman"/>
          <w:sz w:val="18"/>
        </w:rPr>
        <w:t xml:space="preserve">:  </w:t>
      </w:r>
    </w:p>
    <w:p w:rsidR="009E4D41" w:rsidRDefault="00EB01BF">
      <w:pPr>
        <w:spacing w:after="111" w:line="249" w:lineRule="auto"/>
        <w:ind w:left="1388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For each cost item: ‘average price of the consumable’, i.e.: </w:t>
      </w:r>
    </w:p>
    <w:p w:rsidR="009E4D41" w:rsidRDefault="00EB01BF">
      <w:pPr>
        <w:spacing w:after="4" w:line="249" w:lineRule="auto"/>
        <w:ind w:left="1795" w:right="50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>{</w:t>
      </w:r>
      <w:r>
        <w:rPr>
          <w:rFonts w:ascii="Times New Roman" w:eastAsia="Times New Roman" w:hAnsi="Times New Roman" w:cs="Times New Roman"/>
          <w:sz w:val="18"/>
        </w:rPr>
        <w:t xml:space="preserve">{certified or auditable total costs of purchase of the consumable in year N-1  </w:t>
      </w:r>
    </w:p>
    <w:p w:rsidR="009E4D41" w:rsidRDefault="00EB01BF">
      <w:pPr>
        <w:spacing w:after="82"/>
        <w:ind w:left="1795" w:hanging="10"/>
      </w:pPr>
      <w:r>
        <w:rPr>
          <w:rFonts w:ascii="Times New Roman" w:eastAsia="Times New Roman" w:hAnsi="Times New Roman" w:cs="Times New Roman"/>
          <w:b/>
          <w:sz w:val="8"/>
        </w:rPr>
        <w:t>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8"/>
        </w:rPr>
        <w:t xml:space="preserve">_______________________________________ </w:t>
      </w:r>
    </w:p>
    <w:p w:rsidR="009E4D41" w:rsidRDefault="00EB01BF">
      <w:pPr>
        <w:spacing w:after="4" w:line="249" w:lineRule="auto"/>
        <w:ind w:left="1795" w:right="3231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total number of items purchased in year N-1} multiplied by  </w:t>
      </w:r>
    </w:p>
    <w:p w:rsidR="009E4D41" w:rsidRDefault="00EB01BF">
      <w:pPr>
        <w:spacing w:after="125" w:line="249" w:lineRule="auto"/>
        <w:ind w:left="1795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>estimated number of items to be used for the task (per participant)</w:t>
      </w:r>
      <w:r>
        <w:rPr>
          <w:rFonts w:ascii="Times New Roman" w:eastAsia="Times New Roman" w:hAnsi="Times New Roman" w:cs="Times New Roman"/>
          <w:b/>
          <w:sz w:val="18"/>
        </w:rPr>
        <w:t>}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E4D41" w:rsidRDefault="00EB01BF">
      <w:pPr>
        <w:spacing w:after="135" w:line="249" w:lineRule="auto"/>
        <w:ind w:left="1080" w:right="50" w:firstLine="720"/>
        <w:jc w:val="both"/>
      </w:pPr>
      <w:r>
        <w:rPr>
          <w:rFonts w:ascii="Times New Roman" w:eastAsia="Times New Roman" w:hAnsi="Times New Roman" w:cs="Times New Roman"/>
          <w:sz w:val="18"/>
        </w:rPr>
        <w:t>‘total costs of purchase of the consumable’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means total value of the supply contract</w:t>
      </w:r>
      <w:r>
        <w:rPr>
          <w:rFonts w:ascii="Times New Roman" w:eastAsia="Times New Roman" w:hAnsi="Times New Roman" w:cs="Times New Roman"/>
          <w:sz w:val="18"/>
        </w:rPr>
        <w:t>s (including related duties, taxes and charges such as non-deductible VAT) concluded by the beneficiary for the consumable delivered in year N-1, provided the contracts were awarded according to the principle of best value- for-money and without any confli</w:t>
      </w:r>
      <w:r>
        <w:rPr>
          <w:rFonts w:ascii="Times New Roman" w:eastAsia="Times New Roman" w:hAnsi="Times New Roman" w:cs="Times New Roman"/>
          <w:sz w:val="18"/>
        </w:rPr>
        <w:t xml:space="preserve">ct of </w:t>
      </w:r>
      <w:proofErr w:type="gramStart"/>
      <w:r>
        <w:rPr>
          <w:rFonts w:ascii="Times New Roman" w:eastAsia="Times New Roman" w:hAnsi="Times New Roman" w:cs="Times New Roman"/>
          <w:sz w:val="18"/>
        </w:rPr>
        <w:t>interests  For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medical equipment</w:t>
      </w:r>
      <w:r>
        <w:rPr>
          <w:rFonts w:ascii="Times New Roman" w:eastAsia="Times New Roman" w:hAnsi="Times New Roman" w:cs="Times New Roman"/>
          <w:sz w:val="18"/>
        </w:rPr>
        <w:t xml:space="preserve">:  </w:t>
      </w:r>
    </w:p>
    <w:p w:rsidR="009E4D41" w:rsidRDefault="00EB01BF">
      <w:pPr>
        <w:spacing w:after="109" w:line="249" w:lineRule="auto"/>
        <w:ind w:left="1388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For each cost item: ‘average cost of depreciation and directly related services per unit of use’, i.e.: </w:t>
      </w:r>
    </w:p>
    <w:p w:rsidR="009E4D41" w:rsidRDefault="00EB01BF">
      <w:pPr>
        <w:spacing w:after="4" w:line="249" w:lineRule="auto"/>
        <w:ind w:left="2145" w:right="50" w:hanging="360"/>
        <w:jc w:val="both"/>
      </w:pPr>
      <w:proofErr w:type="gramStart"/>
      <w:r>
        <w:rPr>
          <w:rFonts w:ascii="Times New Roman" w:eastAsia="Times New Roman" w:hAnsi="Times New Roman" w:cs="Times New Roman"/>
          <w:b/>
          <w:sz w:val="18"/>
        </w:rPr>
        <w:t>{</w:t>
      </w:r>
      <w:r>
        <w:rPr>
          <w:rFonts w:ascii="Times New Roman" w:eastAsia="Times New Roman" w:hAnsi="Times New Roman" w:cs="Times New Roman"/>
          <w:sz w:val="18"/>
        </w:rPr>
        <w:t>{ certified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or auditable total depreciation costs in year N-</w:t>
      </w:r>
      <w:r>
        <w:rPr>
          <w:rFonts w:ascii="Times New Roman" w:eastAsia="Times New Roman" w:hAnsi="Times New Roman" w:cs="Times New Roman"/>
          <w:sz w:val="18"/>
        </w:rPr>
        <w:t xml:space="preserve">1 + certified or auditable total costs of purchase of services in year N-1 for the category of equipment concerned}  </w:t>
      </w:r>
    </w:p>
    <w:p w:rsidR="009E4D41" w:rsidRDefault="00EB01BF">
      <w:pPr>
        <w:spacing w:after="81"/>
        <w:ind w:left="1026"/>
        <w:jc w:val="center"/>
      </w:pPr>
      <w:r>
        <w:rPr>
          <w:rFonts w:ascii="Times New Roman" w:eastAsia="Times New Roman" w:hAnsi="Times New Roman" w:cs="Times New Roman"/>
          <w:b/>
          <w:sz w:val="8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8"/>
        </w:rPr>
        <w:t xml:space="preserve">__________ </w:t>
      </w:r>
    </w:p>
    <w:p w:rsidR="009E4D41" w:rsidRDefault="00EB01BF">
      <w:pPr>
        <w:spacing w:after="4" w:line="249" w:lineRule="auto"/>
        <w:ind w:left="2108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total capacity in year N-1 </w:t>
      </w:r>
    </w:p>
    <w:p w:rsidR="009E4D41" w:rsidRDefault="00EB01BF">
      <w:pPr>
        <w:spacing w:after="4" w:line="249" w:lineRule="auto"/>
        <w:ind w:left="1795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multiplied by  </w:t>
      </w:r>
    </w:p>
    <w:p w:rsidR="009E4D41" w:rsidRDefault="00EB01BF">
      <w:pPr>
        <w:spacing w:after="144" w:line="249" w:lineRule="auto"/>
        <w:ind w:left="1795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>estimated number of units of use of the equipment for the task (per participant)</w:t>
      </w:r>
      <w:r>
        <w:rPr>
          <w:rFonts w:ascii="Times New Roman" w:eastAsia="Times New Roman" w:hAnsi="Times New Roman" w:cs="Times New Roman"/>
          <w:b/>
          <w:sz w:val="18"/>
        </w:rPr>
        <w:t>}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E4D41" w:rsidRDefault="00EB01BF">
      <w:pPr>
        <w:spacing w:after="137" w:line="249" w:lineRule="auto"/>
        <w:ind w:left="1080" w:right="50" w:firstLine="72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‘total depreciation costs’ means total depreciation allowances as recorded in the beneficiary’s accounts of year N-1 </w:t>
      </w:r>
      <w:r>
        <w:rPr>
          <w:rFonts w:ascii="Times New Roman" w:eastAsia="Times New Roman" w:hAnsi="Times New Roman" w:cs="Times New Roman"/>
          <w:sz w:val="18"/>
        </w:rPr>
        <w:t>for the category of equipment concerned, provided the equipment was purchased according to the principle of best value for money and without any conflict of interests + total costs of renting or leasing contracts (including related duties, taxes and charge</w:t>
      </w:r>
      <w:r>
        <w:rPr>
          <w:rFonts w:ascii="Times New Roman" w:eastAsia="Times New Roman" w:hAnsi="Times New Roman" w:cs="Times New Roman"/>
          <w:sz w:val="18"/>
        </w:rPr>
        <w:t xml:space="preserve">s such as non-deductible VAT) in year N-1 for the category of equipment concerned, provided they do not exceed the depreciation costs of similar equipment and do not include finance fees For </w:t>
      </w:r>
      <w:r>
        <w:rPr>
          <w:rFonts w:ascii="Times New Roman" w:eastAsia="Times New Roman" w:hAnsi="Times New Roman" w:cs="Times New Roman"/>
          <w:b/>
          <w:sz w:val="18"/>
        </w:rPr>
        <w:t>services</w:t>
      </w:r>
      <w:r>
        <w:rPr>
          <w:rFonts w:ascii="Times New Roman" w:eastAsia="Times New Roman" w:hAnsi="Times New Roman" w:cs="Times New Roman"/>
          <w:sz w:val="18"/>
        </w:rPr>
        <w:t xml:space="preserve">: </w:t>
      </w:r>
    </w:p>
    <w:p w:rsidR="009E4D41" w:rsidRDefault="00EB01BF">
      <w:pPr>
        <w:spacing w:after="109" w:line="249" w:lineRule="auto"/>
        <w:ind w:left="1388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lastRenderedPageBreak/>
        <w:t>For each cost item: ‘average cost of the service per s</w:t>
      </w:r>
      <w:r>
        <w:rPr>
          <w:rFonts w:ascii="Times New Roman" w:eastAsia="Times New Roman" w:hAnsi="Times New Roman" w:cs="Times New Roman"/>
          <w:sz w:val="18"/>
        </w:rPr>
        <w:t xml:space="preserve">tudy participant’, i.e.: </w:t>
      </w:r>
    </w:p>
    <w:p w:rsidR="009E4D41" w:rsidRDefault="00EB01BF">
      <w:pPr>
        <w:spacing w:after="4" w:line="249" w:lineRule="auto"/>
        <w:ind w:left="1795" w:right="50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>{</w:t>
      </w:r>
      <w:r>
        <w:rPr>
          <w:rFonts w:ascii="Times New Roman" w:eastAsia="Times New Roman" w:hAnsi="Times New Roman" w:cs="Times New Roman"/>
          <w:sz w:val="18"/>
        </w:rPr>
        <w:t xml:space="preserve">certified or auditable total costs of purchase of the service in year N-1  </w:t>
      </w:r>
    </w:p>
    <w:p w:rsidR="009E4D41" w:rsidRDefault="00EB01BF">
      <w:pPr>
        <w:spacing w:after="82"/>
        <w:ind w:left="1795" w:hanging="10"/>
      </w:pPr>
      <w:r>
        <w:rPr>
          <w:rFonts w:ascii="Times New Roman" w:eastAsia="Times New Roman" w:hAnsi="Times New Roman" w:cs="Times New Roman"/>
          <w:b/>
          <w:sz w:val="8"/>
        </w:rPr>
        <w:t xml:space="preserve">______________________________________________________________________________________________________________________________________________________ </w:t>
      </w:r>
    </w:p>
    <w:p w:rsidR="009E4D41" w:rsidRDefault="00EB01BF">
      <w:pPr>
        <w:spacing w:after="145" w:line="249" w:lineRule="auto"/>
        <w:ind w:left="1795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>total number of patients or subjects included in the clinical studies for which the service was delivered in year N-1</w:t>
      </w:r>
      <w:r>
        <w:rPr>
          <w:rFonts w:ascii="Times New Roman" w:eastAsia="Times New Roman" w:hAnsi="Times New Roman" w:cs="Times New Roman"/>
          <w:b/>
          <w:sz w:val="18"/>
        </w:rPr>
        <w:t>}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E4D41" w:rsidRDefault="00EB01BF">
      <w:pPr>
        <w:spacing w:after="308" w:line="249" w:lineRule="auto"/>
        <w:ind w:left="1080" w:right="50" w:firstLine="658"/>
        <w:jc w:val="both"/>
      </w:pPr>
      <w:r>
        <w:rPr>
          <w:rFonts w:ascii="Times New Roman" w:eastAsia="Times New Roman" w:hAnsi="Times New Roman" w:cs="Times New Roman"/>
          <w:sz w:val="18"/>
        </w:rPr>
        <w:t>‘total costs of purchase of the service’ means total value of the contracts concluded by the beneficiary (including related duties, taxe</w:t>
      </w:r>
      <w:r>
        <w:rPr>
          <w:rFonts w:ascii="Times New Roman" w:eastAsia="Times New Roman" w:hAnsi="Times New Roman" w:cs="Times New Roman"/>
          <w:sz w:val="18"/>
        </w:rPr>
        <w:t xml:space="preserve">s and charges such as non-deductible VAT) for the specific service delivered in year N-1 for the conduct of clinical studies, provided the contracts were awarded according to the principle of best value for money and without any conflict of </w:t>
      </w:r>
      <w:proofErr w:type="gramStart"/>
      <w:r>
        <w:rPr>
          <w:rFonts w:ascii="Times New Roman" w:eastAsia="Times New Roman" w:hAnsi="Times New Roman" w:cs="Times New Roman"/>
          <w:sz w:val="18"/>
        </w:rPr>
        <w:t>interests  For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indirect costs</w:t>
      </w:r>
      <w:r>
        <w:rPr>
          <w:rFonts w:ascii="Times New Roman" w:eastAsia="Times New Roman" w:hAnsi="Times New Roman" w:cs="Times New Roman"/>
          <w:sz w:val="18"/>
        </w:rPr>
        <w:t xml:space="preserve">: </w:t>
      </w:r>
    </w:p>
    <w:p w:rsidR="009E4D41" w:rsidRDefault="00EB01BF">
      <w:pPr>
        <w:spacing w:after="31" w:line="351" w:lineRule="auto"/>
        <w:ind w:left="1388" w:right="46" w:hanging="10"/>
      </w:pPr>
      <w:r>
        <w:rPr>
          <w:rFonts w:ascii="Times New Roman" w:eastAsia="Times New Roman" w:hAnsi="Times New Roman" w:cs="Times New Roman"/>
          <w:b/>
          <w:sz w:val="28"/>
        </w:rPr>
        <w:t>{</w:t>
      </w:r>
      <w:r>
        <w:rPr>
          <w:rFonts w:ascii="Times New Roman" w:eastAsia="Times New Roman" w:hAnsi="Times New Roman" w:cs="Times New Roman"/>
          <w:b/>
          <w:sz w:val="24"/>
        </w:rPr>
        <w:t>{</w:t>
      </w:r>
      <w:r>
        <w:rPr>
          <w:rFonts w:ascii="Times New Roman" w:eastAsia="Times New Roman" w:hAnsi="Times New Roman" w:cs="Times New Roman"/>
          <w:sz w:val="18"/>
        </w:rPr>
        <w:t xml:space="preserve">{cost component ‘personnel costs’ + cost component ‘consumables’ + cost component ‘medical equipment’} minus </w:t>
      </w:r>
    </w:p>
    <w:p w:rsidR="009E4D41" w:rsidRDefault="00EB01BF">
      <w:pPr>
        <w:spacing w:after="101" w:line="249" w:lineRule="auto"/>
        <w:ind w:left="1388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{costs of in-kind contributions provided by third parties which are not used on the beneficiary’s premises </w:t>
      </w:r>
    </w:p>
    <w:p w:rsidR="009E4D41" w:rsidRDefault="00EB01BF">
      <w:pPr>
        <w:spacing w:after="146" w:line="401" w:lineRule="auto"/>
        <w:ind w:left="1388" w:right="2362" w:hanging="10"/>
        <w:jc w:val="both"/>
      </w:pPr>
      <w:r>
        <w:rPr>
          <w:rFonts w:ascii="Times New Roman" w:eastAsia="Times New Roman" w:hAnsi="Times New Roman" w:cs="Times New Roman"/>
          <w:sz w:val="18"/>
        </w:rPr>
        <w:t>+ costs of providing financial support to third parties (if any)}</w:t>
      </w:r>
      <w:r>
        <w:rPr>
          <w:rFonts w:ascii="Times New Roman" w:eastAsia="Times New Roman" w:hAnsi="Times New Roman" w:cs="Times New Roman"/>
          <w:b/>
          <w:sz w:val="24"/>
        </w:rPr>
        <w:t>}</w:t>
      </w:r>
      <w:r>
        <w:rPr>
          <w:rFonts w:ascii="Times New Roman" w:eastAsia="Times New Roman" w:hAnsi="Times New Roman" w:cs="Times New Roman"/>
          <w:sz w:val="18"/>
        </w:rPr>
        <w:t xml:space="preserve"> multiplied by </w:t>
      </w:r>
    </w:p>
    <w:p w:rsidR="009E4D41" w:rsidRDefault="00EB01BF">
      <w:pPr>
        <w:spacing w:after="4" w:line="249" w:lineRule="auto"/>
        <w:ind w:left="1388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>25%</w:t>
      </w:r>
      <w:r>
        <w:rPr>
          <w:rFonts w:ascii="Times New Roman" w:eastAsia="Times New Roman" w:hAnsi="Times New Roman" w:cs="Times New Roman"/>
          <w:b/>
          <w:sz w:val="28"/>
        </w:rPr>
        <w:t>}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E4D41" w:rsidRDefault="00EB01BF">
      <w:pPr>
        <w:spacing w:after="116" w:line="249" w:lineRule="auto"/>
        <w:ind w:left="1090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>The estimation of the resources to be used must be done on the basis of the study protocol and must be the same for all beneficiaries/linked third parties/third parties</w:t>
      </w:r>
      <w:r>
        <w:rPr>
          <w:rFonts w:ascii="Times New Roman" w:eastAsia="Times New Roman" w:hAnsi="Times New Roman" w:cs="Times New Roman"/>
          <w:sz w:val="18"/>
        </w:rPr>
        <w:t xml:space="preserve"> involved. </w:t>
      </w:r>
    </w:p>
    <w:p w:rsidR="009E4D41" w:rsidRDefault="00EB01BF">
      <w:pPr>
        <w:spacing w:after="234" w:line="249" w:lineRule="auto"/>
        <w:ind w:left="1088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The year N-1 to be used is the last closed financial year at the time of submission of the grant application. </w:t>
      </w:r>
    </w:p>
    <w:p w:rsidR="009E4D41" w:rsidRDefault="00EB01BF">
      <w:pPr>
        <w:spacing w:after="161" w:line="249" w:lineRule="auto"/>
        <w:ind w:left="3106" w:right="52" w:hanging="3121"/>
        <w:jc w:val="both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Estimated number of units:</w:t>
      </w:r>
      <w:r>
        <w:rPr>
          <w:rFonts w:ascii="Times New Roman" w:eastAsia="Times New Roman" w:hAnsi="Times New Roman" w:cs="Times New Roman"/>
          <w:sz w:val="20"/>
        </w:rPr>
        <w:t xml:space="preserve"> see (for each clinical study and beneficiary/linked third party) the ‘unit cost table’ attached </w:t>
      </w:r>
    </w:p>
    <w:p w:rsidR="009E4D41" w:rsidRDefault="00EB01BF">
      <w:pPr>
        <w:spacing w:after="39" w:line="249" w:lineRule="auto"/>
        <w:ind w:left="370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>Unit cost table: clinical studies unit cost</w:t>
      </w:r>
      <w:r>
        <w:rPr>
          <w:rFonts w:ascii="Times New Roman" w:eastAsia="Times New Roman" w:hAnsi="Times New Roman" w:cs="Times New Roman"/>
          <w:b/>
          <w:sz w:val="18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8892" w:type="dxa"/>
        <w:tblInd w:w="604" w:type="dxa"/>
        <w:tblCellMar>
          <w:top w:w="3" w:type="dxa"/>
          <w:left w:w="104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796"/>
        <w:gridCol w:w="1561"/>
        <w:gridCol w:w="1200"/>
        <w:gridCol w:w="1080"/>
        <w:gridCol w:w="1130"/>
        <w:gridCol w:w="1136"/>
        <w:gridCol w:w="989"/>
      </w:tblGrid>
      <w:tr w:rsidR="009E4D41">
        <w:trPr>
          <w:trHeight w:val="2271"/>
        </w:trPr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E4D41" w:rsidRDefault="00EB01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Task, Direct cost categories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vertAlign w:val="superscript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E4D41" w:rsidRDefault="00EB01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Resource per patient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E4D41" w:rsidRDefault="00EB01BF">
            <w:pPr>
              <w:spacing w:after="62" w:line="238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Costs year N-1 </w:t>
            </w:r>
          </w:p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Beneficiary </w:t>
            </w:r>
          </w:p>
          <w:p w:rsidR="009E4D41" w:rsidRDefault="00EB01BF">
            <w:pPr>
              <w:spacing w:after="41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</w:t>
            </w:r>
          </w:p>
          <w:p w:rsidR="009E4D41" w:rsidRDefault="00EB01BF">
            <w:pPr>
              <w:spacing w:after="0"/>
              <w:ind w:left="4" w:right="4" w:firstLine="34"/>
            </w:pPr>
            <w:r>
              <w:rPr>
                <w:rFonts w:ascii="Times New Roman" w:eastAsia="Times New Roman" w:hAnsi="Times New Roman" w:cs="Times New Roman"/>
                <w:b/>
                <w:color w:val="0088CC"/>
                <w:sz w:val="18"/>
              </w:rPr>
              <w:t>[short name]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E4D41" w:rsidRDefault="00EB01BF">
            <w:pPr>
              <w:spacing w:after="44" w:line="255" w:lineRule="auto"/>
              <w:ind w:left="4" w:right="2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Costs year N-1 Linked third party 1a </w:t>
            </w:r>
          </w:p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0088CC"/>
                <w:sz w:val="18"/>
              </w:rPr>
              <w:t>[short name]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</w:rPr>
              <w:t xml:space="preserve"> 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E4D41" w:rsidRDefault="00EB01BF">
            <w:pPr>
              <w:spacing w:after="62" w:line="238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Costs year N-1 </w:t>
            </w:r>
          </w:p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Beneficiary </w:t>
            </w:r>
          </w:p>
          <w:p w:rsidR="009E4D41" w:rsidRDefault="00EB01BF">
            <w:pPr>
              <w:spacing w:after="41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0088CC"/>
                <w:sz w:val="18"/>
              </w:rPr>
              <w:t>[short name]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E4D41" w:rsidRDefault="00EB01BF">
            <w:pPr>
              <w:spacing w:after="44" w:line="255" w:lineRule="auto"/>
              <w:ind w:left="4" w:right="8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Costs year N-1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Linked third party 2a </w:t>
            </w:r>
          </w:p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0088CC"/>
                <w:sz w:val="18"/>
              </w:rPr>
              <w:t>[short name]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:rsidR="009E4D41" w:rsidRDefault="00EB01BF">
            <w:pPr>
              <w:spacing w:after="0"/>
              <w:ind w:left="4" w:right="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Costs year N-1 Third party giving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inkind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contributi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b/>
                <w:color w:val="0088CC"/>
                <w:sz w:val="18"/>
              </w:rPr>
              <w:t>[short name]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</w:rPr>
              <w:t xml:space="preserve"> </w:t>
            </w:r>
          </w:p>
        </w:tc>
      </w:tr>
      <w:tr w:rsidR="009E4D41">
        <w:trPr>
          <w:trHeight w:val="422"/>
        </w:trPr>
        <w:tc>
          <w:tcPr>
            <w:tcW w:w="3357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  <w:u w:val="single" w:color="000000"/>
              </w:rPr>
              <w:t>Sequence No. 1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9E4D41" w:rsidRDefault="009E4D41"/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9E4D41" w:rsidRDefault="009E4D41"/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9E4D41" w:rsidRDefault="009E4D41"/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9E4D41" w:rsidRDefault="009E4D41"/>
        </w:tc>
        <w:tc>
          <w:tcPr>
            <w:tcW w:w="9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9E4D41" w:rsidRDefault="009E4D41"/>
        </w:tc>
      </w:tr>
      <w:tr w:rsidR="009E4D41">
        <w:trPr>
          <w:trHeight w:val="576"/>
        </w:trPr>
        <w:tc>
          <w:tcPr>
            <w:tcW w:w="33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9E4D41" w:rsidRDefault="00EB01BF">
            <w:pPr>
              <w:spacing w:after="0"/>
              <w:ind w:right="186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Task No. 1 </w:t>
            </w: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>Blood sample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9E4D41" w:rsidRDefault="009E4D41"/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9E4D41" w:rsidRDefault="009E4D41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9E4D41" w:rsidRDefault="009E4D41"/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9E4D41" w:rsidRDefault="009E4D41"/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9E4D41" w:rsidRDefault="009E4D41"/>
        </w:tc>
      </w:tr>
      <w:tr w:rsidR="009E4D41">
        <w:trPr>
          <w:trHeight w:val="823"/>
        </w:trPr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4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(a)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Personnel costs: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Doctors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18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 </w:t>
            </w:r>
          </w:p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n/a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 </w:t>
            </w:r>
          </w:p>
        </w:tc>
      </w:tr>
      <w:tr w:rsidR="009E4D41">
        <w:trPr>
          <w:trHeight w:val="830"/>
        </w:trPr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Other Medical </w:t>
            </w:r>
          </w:p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Personnel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Phlebotomy </w:t>
            </w:r>
          </w:p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(nurse), 10 minutes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8,33 EUR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11,59 EUR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10,30 EUR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11,00 EUR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9,49 EUR </w:t>
            </w:r>
          </w:p>
        </w:tc>
      </w:tr>
      <w:tr w:rsidR="009E4D41">
        <w:trPr>
          <w:trHeight w:val="898"/>
        </w:trPr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Technical Personnel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Sample </w:t>
            </w:r>
          </w:p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Processing (lab technician), 15 minutes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9,51 EUR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15,68 EUR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14,60 EUR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15,23 EUR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10,78 </w:t>
            </w:r>
          </w:p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EUR </w:t>
            </w:r>
          </w:p>
        </w:tc>
      </w:tr>
      <w:tr w:rsidR="009E4D41">
        <w:trPr>
          <w:trHeight w:val="485"/>
        </w:trPr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(b)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Costs of consumables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Syringe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</w:tr>
      <w:tr w:rsidR="009E4D41">
        <w:trPr>
          <w:trHeight w:val="418"/>
        </w:trPr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Cannula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</w:tr>
      <w:tr w:rsidR="009E4D41">
        <w:trPr>
          <w:trHeight w:val="416"/>
        </w:trPr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Blood container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</w:tr>
      <w:tr w:rsidR="009E4D41">
        <w:trPr>
          <w:trHeight w:val="484"/>
        </w:trPr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(c)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Costs of medical equipment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Use of -80° deep freezer, 60 days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</w:tr>
      <w:tr w:rsidR="009E4D41">
        <w:trPr>
          <w:trHeight w:val="485"/>
        </w:trPr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Use of centrifuge, 15 minutes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</w:tr>
      <w:tr w:rsidR="009E4D41">
        <w:trPr>
          <w:trHeight w:val="416"/>
        </w:trPr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(d)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Costs of services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Cleaning of XXX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</w:tr>
      <w:tr w:rsidR="009E4D41">
        <w:trPr>
          <w:trHeight w:val="416"/>
        </w:trPr>
        <w:tc>
          <w:tcPr>
            <w:tcW w:w="33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(e)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Indirect costs </w:t>
            </w:r>
            <w:r>
              <w:rPr>
                <w:rFonts w:ascii="Times New Roman" w:eastAsia="Times New Roman" w:hAnsi="Times New Roman" w:cs="Times New Roman"/>
                <w:sz w:val="18"/>
              </w:rPr>
              <w:t>(25% flat-rate)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</w:tr>
      <w:tr w:rsidR="009E4D41">
        <w:trPr>
          <w:trHeight w:val="418"/>
        </w:trPr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Task No. 2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70C0"/>
                <w:sz w:val="1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</w:tr>
      <w:tr w:rsidR="009E4D41">
        <w:trPr>
          <w:trHeight w:val="422"/>
        </w:trPr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…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</w:tr>
      <w:tr w:rsidR="009E4D41">
        <w:trPr>
          <w:trHeight w:val="427"/>
        </w:trPr>
        <w:tc>
          <w:tcPr>
            <w:tcW w:w="335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Amount per unit (unit cost sequence 1):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0088CC"/>
                <w:sz w:val="18"/>
              </w:rPr>
              <w:t xml:space="preserve">XX EUR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0088CC"/>
                <w:sz w:val="18"/>
              </w:rPr>
              <w:t xml:space="preserve">XX EUR 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0088CC"/>
                <w:sz w:val="18"/>
              </w:rPr>
              <w:t xml:space="preserve">XX EUR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0088CC"/>
                <w:sz w:val="18"/>
              </w:rPr>
              <w:t xml:space="preserve">XX EUR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0088CC"/>
                <w:sz w:val="18"/>
              </w:rPr>
              <w:t xml:space="preserve">XX EUR </w:t>
            </w:r>
          </w:p>
        </w:tc>
      </w:tr>
      <w:tr w:rsidR="009E4D41">
        <w:trPr>
          <w:trHeight w:val="420"/>
        </w:trPr>
        <w:tc>
          <w:tcPr>
            <w:tcW w:w="3357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  <w:u w:val="single" w:color="000000"/>
              </w:rPr>
              <w:t>Sequence No. 2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9E4D41" w:rsidRDefault="009E4D41"/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9E4D41" w:rsidRDefault="009E4D41"/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9E4D41" w:rsidRDefault="009E4D41"/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9E4D41" w:rsidRDefault="009E4D41"/>
        </w:tc>
        <w:tc>
          <w:tcPr>
            <w:tcW w:w="9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9E4D41" w:rsidRDefault="009E4D41"/>
        </w:tc>
      </w:tr>
      <w:tr w:rsidR="009E4D41">
        <w:trPr>
          <w:trHeight w:val="623"/>
        </w:trPr>
        <w:tc>
          <w:tcPr>
            <w:tcW w:w="33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Task No. 1 </w:t>
            </w:r>
          </w:p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>XXX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9E4D41" w:rsidRDefault="009E4D41"/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9E4D41" w:rsidRDefault="009E4D41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9E4D41" w:rsidRDefault="009E4D41"/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9E4D41" w:rsidRDefault="009E4D41"/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9E4D41" w:rsidRDefault="009E4D41"/>
        </w:tc>
      </w:tr>
      <w:tr w:rsidR="009E4D41">
        <w:trPr>
          <w:trHeight w:val="824"/>
        </w:trPr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(a)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Personnel costs: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Doctors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183"/>
              <w:ind w:left="5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 </w:t>
            </w:r>
          </w:p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XXX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183"/>
              <w:ind w:left="5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 </w:t>
            </w:r>
          </w:p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183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 </w:t>
            </w:r>
          </w:p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183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 </w:t>
            </w:r>
          </w:p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183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 </w:t>
            </w:r>
          </w:p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4D41" w:rsidRDefault="00EB01BF">
            <w:pPr>
              <w:spacing w:after="183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 </w:t>
            </w:r>
          </w:p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</w:tr>
      <w:tr w:rsidR="009E4D41">
        <w:trPr>
          <w:trHeight w:val="484"/>
        </w:trPr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Other Medical </w:t>
            </w:r>
          </w:p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Personnel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XXX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</w:tr>
      <w:tr w:rsidR="009E4D41">
        <w:trPr>
          <w:trHeight w:val="418"/>
        </w:trPr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Technical Personnel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XXX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</w:tr>
      <w:tr w:rsidR="009E4D41">
        <w:trPr>
          <w:trHeight w:val="485"/>
        </w:trPr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(b)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Costs of consumables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XXX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</w:tr>
      <w:tr w:rsidR="009E4D41">
        <w:trPr>
          <w:trHeight w:val="415"/>
        </w:trPr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XXX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</w:tr>
      <w:tr w:rsidR="009E4D41">
        <w:trPr>
          <w:trHeight w:val="418"/>
        </w:trPr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XXX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</w:tr>
      <w:tr w:rsidR="009E4D41">
        <w:trPr>
          <w:trHeight w:val="485"/>
        </w:trPr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(c)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Costs of medical equipment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XXX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</w:tr>
      <w:tr w:rsidR="009E4D41">
        <w:trPr>
          <w:trHeight w:val="416"/>
        </w:trPr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XXX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</w:tr>
      <w:tr w:rsidR="009E4D41">
        <w:trPr>
          <w:trHeight w:val="416"/>
        </w:trPr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(d)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Costs of services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XXX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</w:tr>
      <w:tr w:rsidR="009E4D41">
        <w:trPr>
          <w:trHeight w:val="418"/>
        </w:trPr>
        <w:tc>
          <w:tcPr>
            <w:tcW w:w="33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(e)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Indirect costs </w:t>
            </w:r>
            <w:r>
              <w:rPr>
                <w:rFonts w:ascii="Times New Roman" w:eastAsia="Times New Roman" w:hAnsi="Times New Roman" w:cs="Times New Roman"/>
                <w:sz w:val="18"/>
              </w:rPr>
              <w:t>(25% flat-rate)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XX EUR </w:t>
            </w:r>
          </w:p>
        </w:tc>
      </w:tr>
      <w:tr w:rsidR="009E4D41">
        <w:trPr>
          <w:trHeight w:val="418"/>
        </w:trPr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Task No. 2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0070C0"/>
                <w:sz w:val="1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</w:tr>
      <w:tr w:rsidR="009E4D41">
        <w:trPr>
          <w:trHeight w:val="421"/>
        </w:trPr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…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</w:tr>
      <w:tr w:rsidR="009E4D41">
        <w:trPr>
          <w:trHeight w:val="427"/>
        </w:trPr>
        <w:tc>
          <w:tcPr>
            <w:tcW w:w="335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Amount per unit (unit cost sequence 2):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color w:val="0088CC"/>
                <w:sz w:val="18"/>
              </w:rPr>
              <w:t xml:space="preserve">XX EUR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0088CC"/>
                <w:sz w:val="18"/>
              </w:rPr>
              <w:t xml:space="preserve">XX EUR 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0088CC"/>
                <w:sz w:val="18"/>
              </w:rPr>
              <w:t xml:space="preserve">XX EUR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0088CC"/>
                <w:sz w:val="18"/>
              </w:rPr>
              <w:t xml:space="preserve">XX EUR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0088CC"/>
                <w:sz w:val="18"/>
              </w:rPr>
              <w:t xml:space="preserve">XX EUR </w:t>
            </w:r>
          </w:p>
        </w:tc>
      </w:tr>
      <w:tr w:rsidR="009E4D41">
        <w:trPr>
          <w:trHeight w:val="427"/>
        </w:trPr>
        <w:tc>
          <w:tcPr>
            <w:tcW w:w="17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…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 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0088CC"/>
                <w:sz w:val="18"/>
              </w:rPr>
              <w:t xml:space="preserve"> </w:t>
            </w:r>
          </w:p>
        </w:tc>
      </w:tr>
      <w:tr w:rsidR="009E4D41">
        <w:trPr>
          <w:trHeight w:val="428"/>
        </w:trPr>
        <w:tc>
          <w:tcPr>
            <w:tcW w:w="335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9E4D41" w:rsidRDefault="00EB01B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Amount per unit (unit cost entire study):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color w:val="0088CC"/>
                <w:sz w:val="18"/>
              </w:rPr>
              <w:t xml:space="preserve">XX EUR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0088CC"/>
                <w:sz w:val="18"/>
              </w:rPr>
              <w:t xml:space="preserve">XX EUR 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0088CC"/>
                <w:sz w:val="18"/>
              </w:rPr>
              <w:t xml:space="preserve">XX EUR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0088CC"/>
                <w:sz w:val="18"/>
              </w:rPr>
              <w:t xml:space="preserve">XX EUR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E4D41" w:rsidRDefault="00EB01B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0088CC"/>
                <w:sz w:val="18"/>
              </w:rPr>
              <w:t xml:space="preserve">XX EUR </w:t>
            </w:r>
          </w:p>
        </w:tc>
      </w:tr>
    </w:tbl>
    <w:p w:rsidR="009E4D41" w:rsidRDefault="00EB01BF">
      <w:pPr>
        <w:spacing w:after="23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E4D41" w:rsidRDefault="00EB01BF">
      <w:pPr>
        <w:spacing w:after="0" w:line="413" w:lineRule="auto"/>
        <w:ind w:right="10" w:firstLine="8949"/>
      </w:pPr>
      <w:r>
        <w:rPr>
          <w:rFonts w:ascii="Times New Roman" w:eastAsia="Times New Roman" w:hAnsi="Times New Roman" w:cs="Times New Roman"/>
          <w:b/>
          <w:i/>
          <w:color w:val="0088CC"/>
          <w:sz w:val="24"/>
        </w:rPr>
        <w:t>]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4D41" w:rsidRDefault="009E4D41">
      <w:pPr>
        <w:spacing w:after="175"/>
      </w:pPr>
    </w:p>
    <w:p w:rsidR="009E4D41" w:rsidRDefault="00EB01BF">
      <w:pPr>
        <w:spacing w:after="17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sectPr w:rsidR="009E4D41" w:rsidSect="00522F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378" w:bottom="1173" w:left="1440" w:header="708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1BF" w:rsidRDefault="00EB01BF">
      <w:pPr>
        <w:spacing w:after="0" w:line="240" w:lineRule="auto"/>
      </w:pPr>
      <w:r>
        <w:separator/>
      </w:r>
    </w:p>
  </w:endnote>
  <w:endnote w:type="continuationSeparator" w:id="0">
    <w:p w:rsidR="00EB01BF" w:rsidRDefault="00EB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D41" w:rsidRDefault="00EB01BF">
    <w:pPr>
      <w:spacing w:after="0"/>
      <w:ind w:right="6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D41" w:rsidRDefault="00EB01BF">
    <w:pPr>
      <w:spacing w:after="0"/>
      <w:ind w:right="6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2F88" w:rsidRPr="00522F88">
      <w:rPr>
        <w:rFonts w:ascii="Arial" w:eastAsia="Arial" w:hAnsi="Arial" w:cs="Arial"/>
        <w:noProof/>
        <w:sz w:val="18"/>
      </w:rPr>
      <w:t>5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D41" w:rsidRDefault="00EB01BF">
    <w:pPr>
      <w:spacing w:after="0"/>
      <w:ind w:right="6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1BF" w:rsidRDefault="00EB01BF">
      <w:pPr>
        <w:tabs>
          <w:tab w:val="center" w:pos="1596"/>
        </w:tabs>
        <w:spacing w:after="0"/>
      </w:pPr>
      <w:r>
        <w:separator/>
      </w:r>
    </w:p>
  </w:footnote>
  <w:footnote w:type="continuationSeparator" w:id="0">
    <w:p w:rsidR="00EB01BF" w:rsidRDefault="00EB01BF">
      <w:pPr>
        <w:tabs>
          <w:tab w:val="center" w:pos="1596"/>
        </w:tabs>
        <w:spacing w:after="0"/>
      </w:pPr>
      <w:r>
        <w:continuationSeparator/>
      </w:r>
    </w:p>
  </w:footnote>
  <w:footnote w:id="1">
    <w:p w:rsidR="009E4D41" w:rsidRDefault="00EB01BF">
      <w:pPr>
        <w:pStyle w:val="footnotedescription"/>
        <w:tabs>
          <w:tab w:val="center" w:pos="3963"/>
        </w:tabs>
      </w:pPr>
      <w:r>
        <w:rPr>
          <w:rStyle w:val="footnotemark"/>
        </w:rPr>
        <w:footnoteRef/>
      </w:r>
      <w:r>
        <w:t xml:space="preserve"> Data from the ‘building energy specification table (BEST)</w:t>
      </w:r>
      <w:r>
        <w:t xml:space="preserve">’ that is part of the proposal and Annex 1. </w:t>
      </w:r>
      <w:r>
        <w:rPr>
          <w:sz w:val="20"/>
        </w:rPr>
        <w:t xml:space="preserve"> </w:t>
      </w:r>
    </w:p>
  </w:footnote>
  <w:footnote w:id="2">
    <w:p w:rsidR="009E4D41" w:rsidRDefault="00EB01BF">
      <w:pPr>
        <w:pStyle w:val="footnotedescription"/>
        <w:tabs>
          <w:tab w:val="center" w:pos="4230"/>
        </w:tabs>
      </w:pPr>
      <w:r>
        <w:rPr>
          <w:rStyle w:val="footnotemark"/>
        </w:rPr>
        <w:footnoteRef/>
      </w:r>
      <w:r>
        <w:t xml:space="preserve"> Unit of access (e.g. beam hours, weeks of access, sample analysis) fixed by the access provider in proposal. </w:t>
      </w:r>
    </w:p>
  </w:footnote>
  <w:footnote w:id="3">
    <w:p w:rsidR="009E4D41" w:rsidRDefault="00EB01BF">
      <w:pPr>
        <w:pStyle w:val="footnotedescription"/>
        <w:tabs>
          <w:tab w:val="center" w:pos="4188"/>
        </w:tabs>
      </w:pPr>
      <w:r>
        <w:rPr>
          <w:rStyle w:val="footnotemark"/>
        </w:rPr>
        <w:footnoteRef/>
      </w:r>
      <w:r>
        <w:t xml:space="preserve"> </w:t>
      </w:r>
      <w:r>
        <w:rPr>
          <w:color w:val="0088CC"/>
        </w:rPr>
        <w:t>In exceptional and duly justified cases, the Commission/Agency may agree to a different referenc</w:t>
      </w:r>
      <w:r>
        <w:rPr>
          <w:color w:val="0088CC"/>
        </w:rPr>
        <w:t xml:space="preserve">e period. </w:t>
      </w:r>
    </w:p>
  </w:footnote>
  <w:footnote w:id="4">
    <w:p w:rsidR="009E4D41" w:rsidRDefault="00EB01BF">
      <w:pPr>
        <w:pStyle w:val="footnotedescription"/>
        <w:tabs>
          <w:tab w:val="center" w:pos="4188"/>
        </w:tabs>
        <w:spacing w:after="37"/>
      </w:pPr>
      <w:r>
        <w:rPr>
          <w:rStyle w:val="footnotemark"/>
        </w:rPr>
        <w:footnoteRef/>
      </w:r>
      <w:r>
        <w:t xml:space="preserve"> </w:t>
      </w:r>
      <w:r>
        <w:rPr>
          <w:color w:val="0088CC"/>
        </w:rPr>
        <w:t xml:space="preserve">In exceptional and duly justified cases, the Commission/Agency may agree to a different reference period. </w:t>
      </w:r>
    </w:p>
  </w:footnote>
  <w:footnote w:id="5">
    <w:p w:rsidR="009E4D41" w:rsidRDefault="00EB01BF">
      <w:pPr>
        <w:pStyle w:val="footnotedescription"/>
        <w:tabs>
          <w:tab w:val="center" w:pos="4478"/>
        </w:tabs>
      </w:pPr>
      <w:r>
        <w:rPr>
          <w:rStyle w:val="footnotemark"/>
        </w:rPr>
        <w:footnoteRef/>
      </w:r>
      <w:r>
        <w:t xml:space="preserve"> Data from the ‘table on estimated costs/quantity of access to be provided’ that is part of the proposal and Annex 1. </w:t>
      </w:r>
      <w:r>
        <w:rPr>
          <w:sz w:val="20"/>
        </w:rPr>
        <w:t xml:space="preserve"> </w:t>
      </w:r>
    </w:p>
  </w:footnote>
  <w:footnote w:id="6">
    <w:p w:rsidR="009E4D41" w:rsidRDefault="00EB01BF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 xml:space="preserve">Same table as in proposal and Annex 1. 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D41" w:rsidRDefault="00EB01BF">
    <w:pPr>
      <w:spacing w:after="181"/>
    </w:pPr>
    <w:r>
      <w:rPr>
        <w:rFonts w:ascii="Times New Roman" w:eastAsia="Times New Roman" w:hAnsi="Times New Roman" w:cs="Times New Roman"/>
        <w:sz w:val="20"/>
      </w:rPr>
      <w:t>Grant Agreement number: [</w:t>
    </w:r>
    <w:r>
      <w:rPr>
        <w:rFonts w:ascii="Times New Roman" w:eastAsia="Times New Roman" w:hAnsi="Times New Roman" w:cs="Times New Roman"/>
        <w:sz w:val="20"/>
        <w:shd w:val="clear" w:color="auto" w:fill="D3D3D3"/>
      </w:rPr>
      <w:t>insert number</w:t>
    </w:r>
    <w:r>
      <w:rPr>
        <w:rFonts w:ascii="Times New Roman" w:eastAsia="Times New Roman" w:hAnsi="Times New Roman" w:cs="Times New Roman"/>
        <w:sz w:val="20"/>
      </w:rPr>
      <w:t>] [</w:t>
    </w:r>
    <w:r>
      <w:rPr>
        <w:rFonts w:ascii="Times New Roman" w:eastAsia="Times New Roman" w:hAnsi="Times New Roman" w:cs="Times New Roman"/>
        <w:sz w:val="20"/>
        <w:shd w:val="clear" w:color="auto" w:fill="D3D3D3"/>
      </w:rPr>
      <w:t>insert acronym</w:t>
    </w:r>
    <w:r>
      <w:rPr>
        <w:rFonts w:ascii="Times New Roman" w:eastAsia="Times New Roman" w:hAnsi="Times New Roman" w:cs="Times New Roman"/>
        <w:sz w:val="20"/>
      </w:rPr>
      <w:t>] [</w:t>
    </w:r>
    <w:r>
      <w:rPr>
        <w:rFonts w:ascii="Times New Roman" w:eastAsia="Times New Roman" w:hAnsi="Times New Roman" w:cs="Times New Roman"/>
        <w:sz w:val="20"/>
        <w:shd w:val="clear" w:color="auto" w:fill="D3D3D3"/>
      </w:rPr>
      <w:t>insert call identifier</w:t>
    </w:r>
    <w:r>
      <w:rPr>
        <w:rFonts w:ascii="Times New Roman" w:eastAsia="Times New Roman" w:hAnsi="Times New Roman" w:cs="Times New Roman"/>
        <w:sz w:val="20"/>
      </w:rPr>
      <w:t xml:space="preserve">] </w:t>
    </w:r>
  </w:p>
  <w:p w:rsidR="009E4D41" w:rsidRDefault="00EB01BF">
    <w:pPr>
      <w:spacing w:after="0"/>
      <w:ind w:right="60"/>
      <w:jc w:val="right"/>
    </w:pPr>
    <w:r>
      <w:rPr>
        <w:rFonts w:ascii="Times New Roman" w:eastAsia="Times New Roman" w:hAnsi="Times New Roman" w:cs="Times New Roman"/>
        <w:color w:val="0088CC"/>
        <w:sz w:val="20"/>
      </w:rPr>
      <w:t xml:space="preserve">H2020 Templates: Annex 2a (Additional information on the estimated budget): v5.0 –25.05.2018 </w:t>
    </w:r>
  </w:p>
  <w:p w:rsidR="009E4D41" w:rsidRDefault="00EB01BF">
    <w:pPr>
      <w:spacing w:after="0"/>
      <w:ind w:right="10"/>
      <w:jc w:val="right"/>
    </w:pPr>
    <w:r>
      <w:rPr>
        <w:rFonts w:ascii="Times New Roman" w:eastAsia="Times New Roman" w:hAnsi="Times New Roman" w:cs="Times New Roman"/>
        <w:color w:val="0088CC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D41" w:rsidRDefault="00EB01BF">
    <w:pPr>
      <w:spacing w:after="181"/>
    </w:pPr>
    <w:r>
      <w:rPr>
        <w:rFonts w:ascii="Times New Roman" w:eastAsia="Times New Roman" w:hAnsi="Times New Roman" w:cs="Times New Roman"/>
        <w:sz w:val="20"/>
      </w:rPr>
      <w:t>Grant Agreement number: [</w:t>
    </w:r>
    <w:r>
      <w:rPr>
        <w:rFonts w:ascii="Times New Roman" w:eastAsia="Times New Roman" w:hAnsi="Times New Roman" w:cs="Times New Roman"/>
        <w:sz w:val="20"/>
        <w:shd w:val="clear" w:color="auto" w:fill="D3D3D3"/>
      </w:rPr>
      <w:t>insert number</w:t>
    </w:r>
    <w:r>
      <w:rPr>
        <w:rFonts w:ascii="Times New Roman" w:eastAsia="Times New Roman" w:hAnsi="Times New Roman" w:cs="Times New Roman"/>
        <w:sz w:val="20"/>
      </w:rPr>
      <w:t>] [</w:t>
    </w:r>
    <w:r>
      <w:rPr>
        <w:rFonts w:ascii="Times New Roman" w:eastAsia="Times New Roman" w:hAnsi="Times New Roman" w:cs="Times New Roman"/>
        <w:sz w:val="20"/>
        <w:shd w:val="clear" w:color="auto" w:fill="D3D3D3"/>
      </w:rPr>
      <w:t>insert acronym</w:t>
    </w:r>
    <w:r>
      <w:rPr>
        <w:rFonts w:ascii="Times New Roman" w:eastAsia="Times New Roman" w:hAnsi="Times New Roman" w:cs="Times New Roman"/>
        <w:sz w:val="20"/>
      </w:rPr>
      <w:t>] [</w:t>
    </w:r>
    <w:r>
      <w:rPr>
        <w:rFonts w:ascii="Times New Roman" w:eastAsia="Times New Roman" w:hAnsi="Times New Roman" w:cs="Times New Roman"/>
        <w:sz w:val="20"/>
        <w:shd w:val="clear" w:color="auto" w:fill="D3D3D3"/>
      </w:rPr>
      <w:t>insert call identifier</w:t>
    </w:r>
    <w:r>
      <w:rPr>
        <w:rFonts w:ascii="Times New Roman" w:eastAsia="Times New Roman" w:hAnsi="Times New Roman" w:cs="Times New Roman"/>
        <w:sz w:val="20"/>
      </w:rPr>
      <w:t xml:space="preserve">]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D41" w:rsidRDefault="00EB01BF">
    <w:pPr>
      <w:spacing w:after="181"/>
    </w:pPr>
    <w:r>
      <w:rPr>
        <w:rFonts w:ascii="Times New Roman" w:eastAsia="Times New Roman" w:hAnsi="Times New Roman" w:cs="Times New Roman"/>
        <w:sz w:val="20"/>
      </w:rPr>
      <w:t>Grant Agreement number: [</w:t>
    </w:r>
    <w:r>
      <w:rPr>
        <w:rFonts w:ascii="Times New Roman" w:eastAsia="Times New Roman" w:hAnsi="Times New Roman" w:cs="Times New Roman"/>
        <w:sz w:val="20"/>
        <w:shd w:val="clear" w:color="auto" w:fill="D3D3D3"/>
      </w:rPr>
      <w:t>insert number</w:t>
    </w:r>
    <w:r>
      <w:rPr>
        <w:rFonts w:ascii="Times New Roman" w:eastAsia="Times New Roman" w:hAnsi="Times New Roman" w:cs="Times New Roman"/>
        <w:sz w:val="20"/>
      </w:rPr>
      <w:t>] [</w:t>
    </w:r>
    <w:r>
      <w:rPr>
        <w:rFonts w:ascii="Times New Roman" w:eastAsia="Times New Roman" w:hAnsi="Times New Roman" w:cs="Times New Roman"/>
        <w:sz w:val="20"/>
        <w:shd w:val="clear" w:color="auto" w:fill="D3D3D3"/>
      </w:rPr>
      <w:t>insert acronym</w:t>
    </w:r>
    <w:r>
      <w:rPr>
        <w:rFonts w:ascii="Times New Roman" w:eastAsia="Times New Roman" w:hAnsi="Times New Roman" w:cs="Times New Roman"/>
        <w:sz w:val="20"/>
      </w:rPr>
      <w:t>] [</w:t>
    </w:r>
    <w:r>
      <w:rPr>
        <w:rFonts w:ascii="Times New Roman" w:eastAsia="Times New Roman" w:hAnsi="Times New Roman" w:cs="Times New Roman"/>
        <w:sz w:val="20"/>
        <w:shd w:val="clear" w:color="auto" w:fill="D3D3D3"/>
      </w:rPr>
      <w:t>insert call identifier</w:t>
    </w:r>
    <w:r>
      <w:rPr>
        <w:rFonts w:ascii="Times New Roman" w:eastAsia="Times New Roman" w:hAnsi="Times New Roman" w:cs="Times New Roman"/>
        <w:sz w:val="20"/>
      </w:rPr>
      <w:t xml:space="preserve">] </w:t>
    </w:r>
  </w:p>
  <w:p w:rsidR="009E4D41" w:rsidRDefault="00EB01BF">
    <w:pPr>
      <w:spacing w:after="0"/>
      <w:ind w:right="60"/>
      <w:jc w:val="right"/>
    </w:pPr>
    <w:r>
      <w:rPr>
        <w:rFonts w:ascii="Times New Roman" w:eastAsia="Times New Roman" w:hAnsi="Times New Roman" w:cs="Times New Roman"/>
        <w:color w:val="0088CC"/>
        <w:sz w:val="20"/>
      </w:rPr>
      <w:t>H2020 Templates: Annex 2a (Additional information on the estimated budget): v</w:t>
    </w:r>
    <w:r>
      <w:rPr>
        <w:rFonts w:ascii="Times New Roman" w:eastAsia="Times New Roman" w:hAnsi="Times New Roman" w:cs="Times New Roman"/>
        <w:color w:val="0088CC"/>
        <w:sz w:val="20"/>
      </w:rPr>
      <w:t xml:space="preserve">5.0 –25.05.2018 </w:t>
    </w:r>
  </w:p>
  <w:p w:rsidR="009E4D41" w:rsidRDefault="00EB01BF">
    <w:pPr>
      <w:spacing w:after="0"/>
      <w:ind w:right="10"/>
      <w:jc w:val="right"/>
    </w:pPr>
    <w:r>
      <w:rPr>
        <w:rFonts w:ascii="Times New Roman" w:eastAsia="Times New Roman" w:hAnsi="Times New Roman" w:cs="Times New Roman"/>
        <w:color w:val="0088CC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EB5"/>
    <w:multiLevelType w:val="hybridMultilevel"/>
    <w:tmpl w:val="3EA00414"/>
    <w:lvl w:ilvl="0" w:tplc="DC180BA2">
      <w:start w:val="1"/>
      <w:numFmt w:val="bullet"/>
      <w:lvlText w:val="*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06B32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445DD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D80C3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E41E3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4217C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F0620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0206C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8A84E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52A4C"/>
    <w:multiLevelType w:val="hybridMultilevel"/>
    <w:tmpl w:val="D666B642"/>
    <w:lvl w:ilvl="0" w:tplc="756AF61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9547A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6240A0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7A0812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4B1A73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4022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7936AC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D69C96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D2876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2AA112F5"/>
    <w:multiLevelType w:val="hybridMultilevel"/>
    <w:tmpl w:val="F6547D88"/>
    <w:lvl w:ilvl="0" w:tplc="50BE1134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88C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C4692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88C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F06D7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88C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AAA09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88C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3E2B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88C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A656F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88C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34A23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88C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42CF3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88C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1EA0A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88C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BF6B88"/>
    <w:multiLevelType w:val="hybridMultilevel"/>
    <w:tmpl w:val="408C8A62"/>
    <w:lvl w:ilvl="0" w:tplc="4F2E1042">
      <w:start w:val="1"/>
      <w:numFmt w:val="bullet"/>
      <w:lvlText w:val="-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34260C">
      <w:start w:val="1"/>
      <w:numFmt w:val="bullet"/>
      <w:lvlText w:val="o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0A8010">
      <w:start w:val="1"/>
      <w:numFmt w:val="bullet"/>
      <w:lvlText w:val="▪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4E699E">
      <w:start w:val="1"/>
      <w:numFmt w:val="bullet"/>
      <w:lvlText w:val="•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C4AEBE">
      <w:start w:val="1"/>
      <w:numFmt w:val="bullet"/>
      <w:lvlText w:val="o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A2270C">
      <w:start w:val="1"/>
      <w:numFmt w:val="bullet"/>
      <w:lvlText w:val="▪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98E6C4">
      <w:start w:val="1"/>
      <w:numFmt w:val="bullet"/>
      <w:lvlText w:val="•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465490">
      <w:start w:val="1"/>
      <w:numFmt w:val="bullet"/>
      <w:lvlText w:val="o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60B21E">
      <w:start w:val="1"/>
      <w:numFmt w:val="bullet"/>
      <w:lvlText w:val="▪"/>
      <w:lvlJc w:val="left"/>
      <w:pPr>
        <w:ind w:left="7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C57B69"/>
    <w:multiLevelType w:val="hybridMultilevel"/>
    <w:tmpl w:val="712AE8D8"/>
    <w:lvl w:ilvl="0" w:tplc="567E9A54">
      <w:start w:val="1"/>
      <w:numFmt w:val="bullet"/>
      <w:lvlText w:val="-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8CF51A">
      <w:start w:val="1"/>
      <w:numFmt w:val="bullet"/>
      <w:lvlText w:val="o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4C9A6E">
      <w:start w:val="1"/>
      <w:numFmt w:val="bullet"/>
      <w:lvlText w:val="▪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24B94E">
      <w:start w:val="1"/>
      <w:numFmt w:val="bullet"/>
      <w:lvlText w:val="•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6E72D8">
      <w:start w:val="1"/>
      <w:numFmt w:val="bullet"/>
      <w:lvlText w:val="o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12F210">
      <w:start w:val="1"/>
      <w:numFmt w:val="bullet"/>
      <w:lvlText w:val="▪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9CE5EA">
      <w:start w:val="1"/>
      <w:numFmt w:val="bullet"/>
      <w:lvlText w:val="•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541822">
      <w:start w:val="1"/>
      <w:numFmt w:val="bullet"/>
      <w:lvlText w:val="o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463C48">
      <w:start w:val="1"/>
      <w:numFmt w:val="bullet"/>
      <w:lvlText w:val="▪"/>
      <w:lvlJc w:val="left"/>
      <w:pPr>
        <w:ind w:left="7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41"/>
    <w:rsid w:val="00522F88"/>
    <w:rsid w:val="009E4D41"/>
    <w:rsid w:val="00EB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91D9"/>
  <w15:docId w15:val="{0F3BDB48-AB02-436A-A33D-3A46108B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7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8"/>
      <w:ind w:left="10" w:right="6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50" w:line="265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research/participants/portal/desktop/en/funding/reference_docs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c.europa.eu/research/participants/portal/desktop/en/funding/reference_docs.html" TargetMode="External"/><Relationship Id="rId12" Type="http://schemas.openxmlformats.org/officeDocument/2006/relationships/hyperlink" Target="http://ec.europa.eu/research/participants/portal/desktop/en/funding/reference_docs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research/participants/portal/desktop/en/funding/reference_docs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c.europa.eu/research/participants/portal/desktop/en/funding/reference_docs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research/participants/portal/desktop/en/funding/reference_docs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1967</Words>
  <Characters>11214</Characters>
  <Application>Microsoft Office Word</Application>
  <DocSecurity>0</DocSecurity>
  <Lines>93</Lines>
  <Paragraphs>26</Paragraphs>
  <ScaleCrop>false</ScaleCrop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Anna ( BBI )</dc:creator>
  <cp:keywords/>
  <cp:lastModifiedBy>MICHALSKA Anna ( BBI )</cp:lastModifiedBy>
  <cp:revision>2</cp:revision>
  <dcterms:created xsi:type="dcterms:W3CDTF">2021-01-05T11:33:00Z</dcterms:created>
  <dcterms:modified xsi:type="dcterms:W3CDTF">2021-01-05T11:33:00Z</dcterms:modified>
</cp:coreProperties>
</file>