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F0EF" w14:textId="77777777" w:rsidR="00256C59" w:rsidRDefault="00A21DB3" w:rsidP="00A21DB3">
      <w:pPr>
        <w:pStyle w:val="Heading1"/>
        <w:ind w:left="360"/>
        <w:jc w:val="center"/>
      </w:pPr>
      <w:r w:rsidRPr="00A21DB3">
        <w:t>IKAA ANNEX</w:t>
      </w:r>
    </w:p>
    <w:p w14:paraId="647BE573" w14:textId="77777777" w:rsidR="00A21DB3" w:rsidRPr="00EE54B6" w:rsidRDefault="00F72725" w:rsidP="00A21DB3">
      <w:pPr>
        <w:spacing w:after="120"/>
        <w:rPr>
          <w:i/>
          <w:iCs/>
          <w:color w:val="auto"/>
          <w:sz w:val="20"/>
          <w:szCs w:val="20"/>
        </w:rPr>
      </w:pPr>
      <w:r w:rsidRPr="00F72725">
        <w:rPr>
          <w:noProof/>
          <w:sz w:val="20"/>
          <w:szCs w:val="20"/>
          <w:lang w:val="en-US"/>
        </w:rPr>
        <w:drawing>
          <wp:inline distT="0" distB="0" distL="0" distR="0" wp14:anchorId="0FF95E77" wp14:editId="6CA9A304">
            <wp:extent cx="133350" cy="133350"/>
            <wp:effectExtent l="0" t="0" r="0" b="0"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DB3" w:rsidRPr="00A21DB3">
        <w:rPr>
          <w:noProof/>
          <w:sz w:val="20"/>
          <w:szCs w:val="20"/>
        </w:rPr>
        <w:t xml:space="preserve"> </w:t>
      </w:r>
      <w:r w:rsidR="00A21DB3" w:rsidRPr="00EE54B6">
        <w:rPr>
          <w:i/>
          <w:noProof/>
          <w:color w:val="auto"/>
          <w:sz w:val="20"/>
          <w:szCs w:val="20"/>
        </w:rPr>
        <w:t>Fill in the title of your proposal below.</w:t>
      </w:r>
    </w:p>
    <w:p w14:paraId="001E6AD0" w14:textId="77777777" w:rsidR="00A21DB3" w:rsidRPr="00EE54B6" w:rsidRDefault="00A21DB3" w:rsidP="00A2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center"/>
        <w:rPr>
          <w:b/>
          <w:smallCaps/>
          <w:color w:val="auto"/>
          <w:sz w:val="28"/>
          <w:szCs w:val="28"/>
        </w:rPr>
      </w:pPr>
      <w:r w:rsidRPr="00EE54B6">
        <w:rPr>
          <w:b/>
          <w:smallCaps/>
          <w:color w:val="auto"/>
          <w:sz w:val="28"/>
          <w:szCs w:val="28"/>
        </w:rPr>
        <w:t>Title of the Proposal</w:t>
      </w:r>
    </w:p>
    <w:p w14:paraId="29F44E9C" w14:textId="77777777" w:rsidR="00A21DB3" w:rsidRPr="00EE54B6" w:rsidRDefault="00A21DB3" w:rsidP="00A21DB3">
      <w:pPr>
        <w:spacing w:after="120"/>
        <w:rPr>
          <w:noProof/>
          <w:color w:val="auto"/>
          <w:sz w:val="20"/>
          <w:szCs w:val="20"/>
        </w:rPr>
      </w:pPr>
      <w:r w:rsidRPr="00EE54B6">
        <w:rPr>
          <w:noProof/>
          <w:color w:val="auto"/>
          <w:sz w:val="20"/>
          <w:szCs w:val="20"/>
        </w:rPr>
        <w:t>If your proposal is expected to generate so-called ‘additional activities’ (IKAA), in line with the definition reflected in article 51 of the Council Regulation establishing CBE JU (see legal basis below), you are requested to include a table (see table template below) as an annex to your proposal. This annex is indicative at the proposal stage</w:t>
      </w:r>
      <w:r w:rsidR="00E601B5" w:rsidRPr="00EE54B6">
        <w:rPr>
          <w:noProof/>
          <w:color w:val="auto"/>
          <w:sz w:val="20"/>
          <w:szCs w:val="20"/>
        </w:rPr>
        <w:t>,</w:t>
      </w:r>
      <w:r w:rsidRPr="00EE54B6">
        <w:rPr>
          <w:noProof/>
          <w:color w:val="auto"/>
          <w:sz w:val="20"/>
          <w:szCs w:val="20"/>
        </w:rPr>
        <w:t xml:space="preserve"> will </w:t>
      </w:r>
      <w:r w:rsidRPr="00EE54B6">
        <w:rPr>
          <w:noProof/>
          <w:color w:val="auto"/>
          <w:sz w:val="20"/>
          <w:szCs w:val="20"/>
          <w:u w:val="single"/>
        </w:rPr>
        <w:t>not be taken into account during proposal evaluation</w:t>
      </w:r>
      <w:r w:rsidR="00E601B5" w:rsidRPr="00EE54B6">
        <w:rPr>
          <w:noProof/>
          <w:color w:val="auto"/>
          <w:sz w:val="20"/>
          <w:szCs w:val="20"/>
        </w:rPr>
        <w:t xml:space="preserve">, and should only be uploaded </w:t>
      </w:r>
      <w:r w:rsidR="006735C0" w:rsidRPr="00EE54B6">
        <w:rPr>
          <w:noProof/>
          <w:color w:val="auto"/>
          <w:sz w:val="20"/>
          <w:szCs w:val="20"/>
        </w:rPr>
        <w:t>for</w:t>
      </w:r>
      <w:r w:rsidR="00E601B5" w:rsidRPr="00EE54B6">
        <w:rPr>
          <w:noProof/>
          <w:color w:val="auto"/>
          <w:sz w:val="20"/>
          <w:szCs w:val="20"/>
        </w:rPr>
        <w:t xml:space="preserve"> Innovation Actions (IAs) incl. Flagships</w:t>
      </w:r>
      <w:r w:rsidRPr="00EE54B6">
        <w:rPr>
          <w:noProof/>
          <w:color w:val="auto"/>
          <w:sz w:val="20"/>
          <w:szCs w:val="20"/>
        </w:rPr>
        <w:t>. Should your proposal be invited for Grant Agreement Preparation (GAP), an update of your IKAA contribution will be requested, and the table below will need to be updated.</w:t>
      </w:r>
    </w:p>
    <w:p w14:paraId="1C786E1F" w14:textId="77777777" w:rsidR="00A21DB3" w:rsidRPr="00EE54B6" w:rsidRDefault="00F72725" w:rsidP="00A21DB3">
      <w:pPr>
        <w:spacing w:after="120"/>
        <w:rPr>
          <w:i/>
          <w:iCs/>
          <w:color w:val="auto"/>
          <w:sz w:val="20"/>
          <w:szCs w:val="20"/>
        </w:rPr>
      </w:pPr>
      <w:r w:rsidRPr="00F72725">
        <w:rPr>
          <w:noProof/>
          <w:color w:val="auto"/>
          <w:sz w:val="20"/>
          <w:szCs w:val="20"/>
          <w:lang w:val="en-US"/>
        </w:rPr>
        <w:drawing>
          <wp:inline distT="0" distB="0" distL="0" distR="0" wp14:anchorId="42DFBB9A" wp14:editId="1C2CD332">
            <wp:extent cx="133350" cy="133350"/>
            <wp:effectExtent l="0" t="0" r="0" b="0"/>
            <wp:docPr id="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DB3" w:rsidRPr="00EE54B6">
        <w:rPr>
          <w:noProof/>
          <w:color w:val="auto"/>
          <w:sz w:val="20"/>
          <w:szCs w:val="20"/>
        </w:rPr>
        <w:t xml:space="preserve"> </w:t>
      </w:r>
      <w:r w:rsidR="00A21DB3" w:rsidRPr="00EE54B6">
        <w:rPr>
          <w:i/>
          <w:noProof/>
          <w:color w:val="auto"/>
          <w:sz w:val="20"/>
          <w:szCs w:val="20"/>
        </w:rPr>
        <w:t>Fill in the table below.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402"/>
        <w:gridCol w:w="2920"/>
      </w:tblGrid>
      <w:tr w:rsidR="00A21DB3" w:rsidRPr="00A21DB3" w14:paraId="5DD3C615" w14:textId="77777777" w:rsidTr="00A21DB3">
        <w:trPr>
          <w:trHeight w:val="298"/>
          <w:jc w:val="center"/>
        </w:trPr>
        <w:tc>
          <w:tcPr>
            <w:tcW w:w="90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56D02" w14:textId="77777777" w:rsidR="00A21DB3" w:rsidRPr="00EE54B6" w:rsidRDefault="00A21DB3" w:rsidP="00A21DB3">
            <w:pPr>
              <w:spacing w:after="120"/>
              <w:rPr>
                <w:b/>
                <w:bCs/>
                <w:noProof/>
                <w:color w:val="auto"/>
                <w:sz w:val="20"/>
                <w:szCs w:val="20"/>
              </w:rPr>
            </w:pPr>
            <w:r w:rsidRPr="00EE54B6">
              <w:rPr>
                <w:b/>
                <w:bCs/>
                <w:noProof/>
                <w:color w:val="auto"/>
                <w:sz w:val="20"/>
                <w:szCs w:val="20"/>
              </w:rPr>
              <w:t xml:space="preserve">OVERVIEW IKAA PROPOSAL </w:t>
            </w:r>
          </w:p>
        </w:tc>
      </w:tr>
      <w:tr w:rsidR="00A21DB3" w:rsidRPr="00A21DB3" w14:paraId="5B61871A" w14:textId="77777777" w:rsidTr="00A21DB3">
        <w:trPr>
          <w:trHeight w:val="907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30419" w14:textId="77777777" w:rsidR="00A21DB3" w:rsidRPr="00EE54B6" w:rsidRDefault="00A21DB3" w:rsidP="00A21DB3">
            <w:pPr>
              <w:spacing w:after="120"/>
              <w:rPr>
                <w:b/>
                <w:bCs/>
                <w:noProof/>
                <w:color w:val="auto"/>
                <w:sz w:val="20"/>
                <w:szCs w:val="20"/>
              </w:rPr>
            </w:pPr>
            <w:r w:rsidRPr="00EE54B6">
              <w:rPr>
                <w:b/>
                <w:bCs/>
                <w:noProof/>
                <w:color w:val="auto"/>
                <w:sz w:val="20"/>
                <w:szCs w:val="20"/>
              </w:rPr>
              <w:t>Description of the Additional Activities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FF36" w14:textId="77777777" w:rsidR="00A21DB3" w:rsidRPr="00EE54B6" w:rsidRDefault="00A21DB3" w:rsidP="00A21DB3">
            <w:pPr>
              <w:spacing w:after="120"/>
              <w:rPr>
                <w:b/>
                <w:bCs/>
                <w:noProof/>
                <w:color w:val="auto"/>
                <w:sz w:val="20"/>
                <w:szCs w:val="20"/>
              </w:rPr>
            </w:pPr>
            <w:r w:rsidRPr="00EE54B6">
              <w:rPr>
                <w:b/>
                <w:bCs/>
                <w:noProof/>
                <w:color w:val="auto"/>
                <w:sz w:val="20"/>
                <w:szCs w:val="20"/>
              </w:rPr>
              <w:t xml:space="preserve">Country of establishment </w:t>
            </w:r>
            <w:r w:rsidRPr="00EE54B6">
              <w:rPr>
                <w:b/>
                <w:bCs/>
                <w:noProof/>
                <w:color w:val="auto"/>
                <w:sz w:val="20"/>
                <w:szCs w:val="20"/>
              </w:rPr>
              <w:br/>
              <w:t>of the contributor (participant in the project)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8312" w14:textId="77777777" w:rsidR="00A21DB3" w:rsidRPr="00EE54B6" w:rsidRDefault="00A21DB3" w:rsidP="00A21DB3">
            <w:pPr>
              <w:spacing w:after="120"/>
              <w:rPr>
                <w:b/>
                <w:bCs/>
                <w:noProof/>
                <w:color w:val="auto"/>
                <w:sz w:val="20"/>
                <w:szCs w:val="20"/>
              </w:rPr>
            </w:pPr>
            <w:r w:rsidRPr="00EE54B6">
              <w:rPr>
                <w:b/>
                <w:bCs/>
                <w:noProof/>
                <w:color w:val="auto"/>
                <w:sz w:val="20"/>
                <w:szCs w:val="20"/>
              </w:rPr>
              <w:t>Total estimated value of IKAA</w:t>
            </w:r>
          </w:p>
          <w:p w14:paraId="7F903C2D" w14:textId="77777777" w:rsidR="00A21DB3" w:rsidRPr="00EE54B6" w:rsidRDefault="00A21DB3" w:rsidP="00A21DB3">
            <w:pPr>
              <w:spacing w:after="120"/>
              <w:rPr>
                <w:b/>
                <w:bCs/>
                <w:noProof/>
                <w:color w:val="auto"/>
                <w:sz w:val="20"/>
                <w:szCs w:val="20"/>
              </w:rPr>
            </w:pPr>
            <w:r w:rsidRPr="00EE54B6">
              <w:rPr>
                <w:b/>
                <w:bCs/>
                <w:noProof/>
                <w:color w:val="auto"/>
                <w:sz w:val="20"/>
                <w:szCs w:val="20"/>
              </w:rPr>
              <w:t>(€)</w:t>
            </w:r>
          </w:p>
        </w:tc>
      </w:tr>
      <w:tr w:rsidR="00A21DB3" w:rsidRPr="00A21DB3" w14:paraId="1C3AC40B" w14:textId="77777777" w:rsidTr="00A21DB3">
        <w:trPr>
          <w:trHeight w:val="907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DAEB" w14:textId="77777777" w:rsidR="00A21DB3" w:rsidRPr="00EE54B6" w:rsidRDefault="00A21DB3" w:rsidP="00A21DB3">
            <w:pPr>
              <w:spacing w:after="120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477B" w14:textId="77777777" w:rsidR="00A21DB3" w:rsidRPr="00EE54B6" w:rsidRDefault="00A21DB3" w:rsidP="00A21DB3">
            <w:pPr>
              <w:spacing w:after="120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18EA" w14:textId="77777777" w:rsidR="00A21DB3" w:rsidRPr="00EE54B6" w:rsidRDefault="00A21DB3" w:rsidP="00A21DB3">
            <w:pPr>
              <w:spacing w:after="120"/>
              <w:rPr>
                <w:noProof/>
                <w:color w:val="auto"/>
                <w:sz w:val="20"/>
                <w:szCs w:val="20"/>
              </w:rPr>
            </w:pPr>
          </w:p>
        </w:tc>
      </w:tr>
    </w:tbl>
    <w:p w14:paraId="157F975E" w14:textId="77777777" w:rsidR="00A21DB3" w:rsidRPr="00A21DB3" w:rsidRDefault="00A21DB3" w:rsidP="00A21DB3">
      <w:pPr>
        <w:spacing w:after="120"/>
        <w:rPr>
          <w:noProof/>
          <w:sz w:val="20"/>
          <w:szCs w:val="20"/>
        </w:rPr>
      </w:pPr>
    </w:p>
    <w:p w14:paraId="5ADE9B8E" w14:textId="77777777" w:rsidR="00A21DB3" w:rsidRPr="00EE54B6" w:rsidRDefault="00A21DB3" w:rsidP="00A21DB3">
      <w:pPr>
        <w:spacing w:after="120" w:line="240" w:lineRule="auto"/>
        <w:rPr>
          <w:i/>
          <w:iCs/>
          <w:noProof/>
          <w:color w:val="auto"/>
          <w:sz w:val="20"/>
          <w:szCs w:val="20"/>
        </w:rPr>
      </w:pPr>
      <w:r w:rsidRPr="00EE54B6">
        <w:rPr>
          <w:i/>
          <w:iCs/>
          <w:noProof/>
          <w:color w:val="auto"/>
          <w:sz w:val="20"/>
          <w:szCs w:val="20"/>
        </w:rPr>
        <w:t>Legal basis: As stated in the article 51 of</w:t>
      </w:r>
      <w:r w:rsidRPr="00A21DB3">
        <w:rPr>
          <w:i/>
          <w:iCs/>
          <w:noProof/>
          <w:sz w:val="20"/>
          <w:szCs w:val="20"/>
        </w:rPr>
        <w:t xml:space="preserve"> </w:t>
      </w:r>
      <w:hyperlink r:id="rId9" w:history="1">
        <w:r w:rsidR="00936797" w:rsidRPr="00936797">
          <w:rPr>
            <w:rStyle w:val="Hyperlink"/>
            <w:rFonts w:cs="Open Sans"/>
            <w:i/>
            <w:iCs/>
            <w:sz w:val="20"/>
            <w:szCs w:val="20"/>
          </w:rPr>
          <w:t>Council Regulation 2021/2085</w:t>
        </w:r>
      </w:hyperlink>
      <w:r w:rsidRPr="00EE54B6">
        <w:rPr>
          <w:i/>
          <w:iCs/>
          <w:noProof/>
          <w:color w:val="auto"/>
          <w:sz w:val="20"/>
          <w:szCs w:val="20"/>
        </w:rPr>
        <w:t>, the additional activities are those directly linked to projects and activities of CBE JU, but that do not receive financial support from CBE JU, including in particular:</w:t>
      </w:r>
    </w:p>
    <w:p w14:paraId="29028F72" w14:textId="77777777" w:rsidR="00A21DB3" w:rsidRPr="00EE54B6" w:rsidRDefault="00A21DB3" w:rsidP="00A21DB3">
      <w:pPr>
        <w:pStyle w:val="ListParagraph"/>
        <w:numPr>
          <w:ilvl w:val="0"/>
          <w:numId w:val="23"/>
        </w:numPr>
        <w:spacing w:after="120" w:line="240" w:lineRule="auto"/>
        <w:rPr>
          <w:i/>
          <w:iCs/>
          <w:noProof/>
          <w:color w:val="auto"/>
          <w:sz w:val="20"/>
          <w:szCs w:val="20"/>
        </w:rPr>
      </w:pPr>
      <w:r w:rsidRPr="00EE54B6">
        <w:rPr>
          <w:i/>
          <w:iCs/>
          <w:noProof/>
          <w:color w:val="auto"/>
          <w:sz w:val="20"/>
          <w:szCs w:val="20"/>
        </w:rPr>
        <w:t xml:space="preserve">investments in new facilities demonstrating a new value chain, including investments in durable equipment, tools and accompanying infrastructure, in particular related to regional deployment and its sustainability verification; </w:t>
      </w:r>
    </w:p>
    <w:p w14:paraId="6245E1BA" w14:textId="77777777" w:rsidR="00A21DB3" w:rsidRPr="00EE54B6" w:rsidRDefault="00A21DB3" w:rsidP="00A21DB3">
      <w:pPr>
        <w:pStyle w:val="ListParagraph"/>
        <w:numPr>
          <w:ilvl w:val="0"/>
          <w:numId w:val="23"/>
        </w:numPr>
        <w:spacing w:after="120" w:line="240" w:lineRule="auto"/>
        <w:rPr>
          <w:i/>
          <w:iCs/>
          <w:noProof/>
          <w:color w:val="auto"/>
          <w:sz w:val="20"/>
          <w:szCs w:val="20"/>
        </w:rPr>
      </w:pPr>
      <w:r w:rsidRPr="00EE54B6">
        <w:rPr>
          <w:i/>
          <w:iCs/>
          <w:noProof/>
          <w:color w:val="auto"/>
          <w:sz w:val="20"/>
          <w:szCs w:val="20"/>
        </w:rPr>
        <w:t>investments in a new innovative and sustainable production plant or flagship;</w:t>
      </w:r>
    </w:p>
    <w:p w14:paraId="2DF18A31" w14:textId="77777777" w:rsidR="00A21DB3" w:rsidRPr="00EE54B6" w:rsidRDefault="00A21DB3" w:rsidP="00A21DB3">
      <w:pPr>
        <w:pStyle w:val="ListParagraph"/>
        <w:numPr>
          <w:ilvl w:val="0"/>
          <w:numId w:val="23"/>
        </w:numPr>
        <w:spacing w:after="120" w:line="240" w:lineRule="auto"/>
        <w:rPr>
          <w:i/>
          <w:iCs/>
          <w:noProof/>
          <w:color w:val="auto"/>
          <w:sz w:val="20"/>
          <w:szCs w:val="20"/>
        </w:rPr>
      </w:pPr>
      <w:r w:rsidRPr="00EE54B6">
        <w:rPr>
          <w:i/>
          <w:iCs/>
          <w:noProof/>
          <w:color w:val="auto"/>
          <w:sz w:val="20"/>
          <w:szCs w:val="20"/>
        </w:rPr>
        <w:t xml:space="preserve">investments in new research and innovation and justified infrastructure, including facilities, tools, durable equipment or pilot plants (research centres); </w:t>
      </w:r>
    </w:p>
    <w:p w14:paraId="264F49AD" w14:textId="77777777" w:rsidR="00A21DB3" w:rsidRPr="00EE54B6" w:rsidRDefault="00A21DB3" w:rsidP="00A21DB3">
      <w:pPr>
        <w:pStyle w:val="ListParagraph"/>
        <w:numPr>
          <w:ilvl w:val="0"/>
          <w:numId w:val="23"/>
        </w:numPr>
        <w:spacing w:after="120" w:line="240" w:lineRule="auto"/>
        <w:rPr>
          <w:i/>
          <w:iCs/>
          <w:noProof/>
          <w:color w:val="auto"/>
          <w:sz w:val="20"/>
          <w:szCs w:val="20"/>
        </w:rPr>
      </w:pPr>
      <w:r w:rsidRPr="00EE54B6">
        <w:rPr>
          <w:i/>
          <w:iCs/>
          <w:noProof/>
          <w:color w:val="auto"/>
          <w:sz w:val="20"/>
          <w:szCs w:val="20"/>
        </w:rPr>
        <w:t xml:space="preserve">standardisation activities; </w:t>
      </w:r>
    </w:p>
    <w:p w14:paraId="4ACA3D73" w14:textId="77777777" w:rsidR="00A21DB3" w:rsidRPr="00EE54B6" w:rsidRDefault="00A21DB3" w:rsidP="00A21DB3">
      <w:pPr>
        <w:pStyle w:val="ListParagraph"/>
        <w:numPr>
          <w:ilvl w:val="0"/>
          <w:numId w:val="23"/>
        </w:numPr>
        <w:spacing w:after="120" w:line="240" w:lineRule="auto"/>
        <w:rPr>
          <w:i/>
          <w:iCs/>
          <w:noProof/>
          <w:color w:val="auto"/>
          <w:sz w:val="20"/>
          <w:szCs w:val="20"/>
        </w:rPr>
      </w:pPr>
      <w:r w:rsidRPr="00EE54B6">
        <w:rPr>
          <w:i/>
          <w:iCs/>
          <w:noProof/>
          <w:color w:val="auto"/>
          <w:sz w:val="20"/>
          <w:szCs w:val="20"/>
        </w:rPr>
        <w:t xml:space="preserve">communication, dissemination and awareness-raising activities. </w:t>
      </w:r>
    </w:p>
    <w:p w14:paraId="4BA4492E" w14:textId="77777777" w:rsidR="00A21DB3" w:rsidRPr="00EE54B6" w:rsidRDefault="00A21DB3" w:rsidP="00A21DB3">
      <w:pPr>
        <w:spacing w:before="0" w:after="120" w:line="240" w:lineRule="auto"/>
        <w:rPr>
          <w:i/>
          <w:iCs/>
          <w:noProof/>
          <w:color w:val="auto"/>
          <w:sz w:val="20"/>
          <w:szCs w:val="20"/>
        </w:rPr>
      </w:pPr>
      <w:r w:rsidRPr="00EE54B6">
        <w:rPr>
          <w:i/>
          <w:iCs/>
          <w:noProof/>
          <w:color w:val="auto"/>
          <w:sz w:val="20"/>
          <w:szCs w:val="20"/>
        </w:rPr>
        <w:t xml:space="preserve">The investments directly linked to projects are in particular: </w:t>
      </w:r>
    </w:p>
    <w:p w14:paraId="789852D5" w14:textId="77777777" w:rsidR="00A21DB3" w:rsidRPr="00EE54B6" w:rsidRDefault="00A21DB3" w:rsidP="00A21DB3">
      <w:pPr>
        <w:pStyle w:val="ListParagraph"/>
        <w:numPr>
          <w:ilvl w:val="0"/>
          <w:numId w:val="25"/>
        </w:numPr>
        <w:spacing w:after="120" w:line="240" w:lineRule="auto"/>
        <w:rPr>
          <w:i/>
          <w:iCs/>
          <w:noProof/>
          <w:color w:val="auto"/>
          <w:sz w:val="20"/>
          <w:szCs w:val="20"/>
        </w:rPr>
      </w:pPr>
      <w:r w:rsidRPr="00EE54B6">
        <w:rPr>
          <w:i/>
          <w:iCs/>
          <w:noProof/>
          <w:color w:val="auto"/>
          <w:sz w:val="20"/>
          <w:szCs w:val="20"/>
        </w:rPr>
        <w:t xml:space="preserve">non-eligible investments needed for the implementation of a Circular Bio-based Europe Joint Undertaking project during the duration of that project; </w:t>
      </w:r>
    </w:p>
    <w:p w14:paraId="06AEAF84" w14:textId="77777777" w:rsidR="00A21DB3" w:rsidRPr="00EE54B6" w:rsidRDefault="00A21DB3" w:rsidP="00A21DB3">
      <w:pPr>
        <w:pStyle w:val="ListParagraph"/>
        <w:numPr>
          <w:ilvl w:val="0"/>
          <w:numId w:val="25"/>
        </w:numPr>
        <w:spacing w:after="120" w:line="240" w:lineRule="auto"/>
        <w:rPr>
          <w:i/>
          <w:iCs/>
          <w:noProof/>
          <w:color w:val="auto"/>
          <w:sz w:val="20"/>
          <w:szCs w:val="20"/>
        </w:rPr>
      </w:pPr>
      <w:r w:rsidRPr="00EE54B6">
        <w:rPr>
          <w:i/>
          <w:iCs/>
          <w:noProof/>
          <w:color w:val="auto"/>
          <w:sz w:val="20"/>
          <w:szCs w:val="20"/>
        </w:rPr>
        <w:t xml:space="preserve">investment made in parallel with a Circular Bio-based Europe Joint Undertaking project, complementing the results of the project and bringing it to a higher TRL; </w:t>
      </w:r>
    </w:p>
    <w:p w14:paraId="7690116C" w14:textId="77777777" w:rsidR="007818DD" w:rsidRPr="00EE54B6" w:rsidRDefault="00A21DB3" w:rsidP="00A21DB3">
      <w:pPr>
        <w:pStyle w:val="ListParagraph"/>
        <w:numPr>
          <w:ilvl w:val="0"/>
          <w:numId w:val="25"/>
        </w:numPr>
        <w:spacing w:after="120" w:line="240" w:lineRule="auto"/>
        <w:rPr>
          <w:i/>
          <w:iCs/>
          <w:noProof/>
          <w:color w:val="auto"/>
          <w:sz w:val="20"/>
          <w:szCs w:val="20"/>
        </w:rPr>
      </w:pPr>
      <w:r w:rsidRPr="00EE54B6">
        <w:rPr>
          <w:i/>
          <w:iCs/>
          <w:noProof/>
          <w:color w:val="auto"/>
          <w:sz w:val="20"/>
          <w:szCs w:val="20"/>
        </w:rPr>
        <w:t>investments needed for the deployment of a Circular Bio-based Europe Joint Undertaking project’s results following the closure of the project until the winding up of the Circular Bio-based Europe Joint Undertaking. In justified cases, the investment related to deployment of results of projects from the preceding initiative (BBI Joint Undertaking) may be taken into account.</w:t>
      </w:r>
    </w:p>
    <w:sectPr w:rsidR="007818DD" w:rsidRPr="00EE54B6" w:rsidSect="0044603B">
      <w:footerReference w:type="even" r:id="rId10"/>
      <w:footerReference w:type="default" r:id="rId11"/>
      <w:headerReference w:type="first" r:id="rId12"/>
      <w:pgSz w:w="11906" w:h="16838" w:code="9"/>
      <w:pgMar w:top="1560" w:right="1440" w:bottom="1440" w:left="1440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ECF4" w14:textId="77777777" w:rsidR="00F72725" w:rsidRDefault="00F72725" w:rsidP="001C18E5">
      <w:r>
        <w:separator/>
      </w:r>
    </w:p>
  </w:endnote>
  <w:endnote w:type="continuationSeparator" w:id="0">
    <w:p w14:paraId="160AB21C" w14:textId="77777777" w:rsidR="00F72725" w:rsidRDefault="00F72725" w:rsidP="001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FE1F" w14:textId="77777777" w:rsidR="001C18E5" w:rsidRPr="001C18E5" w:rsidRDefault="001C18E5" w:rsidP="001C18E5">
    <w:pPr>
      <w:pStyle w:val="Footer"/>
      <w:jc w:val="center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54BD" w14:textId="77777777" w:rsidR="00256C59" w:rsidRPr="00256C59" w:rsidRDefault="00256C59">
    <w:pPr>
      <w:pStyle w:val="Footer"/>
      <w:jc w:val="center"/>
      <w:rPr>
        <w:color w:val="4D4D4D"/>
      </w:rPr>
    </w:pPr>
    <w:r w:rsidRPr="00256C59">
      <w:rPr>
        <w:color w:val="4D4D4D"/>
      </w:rPr>
      <w:fldChar w:fldCharType="begin"/>
    </w:r>
    <w:r w:rsidRPr="00256C59">
      <w:rPr>
        <w:color w:val="4D4D4D"/>
      </w:rPr>
      <w:instrText xml:space="preserve"> PAGE   \* MERGEFORMAT </w:instrText>
    </w:r>
    <w:r w:rsidRPr="00256C59">
      <w:rPr>
        <w:color w:val="4D4D4D"/>
      </w:rPr>
      <w:fldChar w:fldCharType="separate"/>
    </w:r>
    <w:r w:rsidR="00943C62">
      <w:rPr>
        <w:noProof/>
        <w:color w:val="4D4D4D"/>
      </w:rPr>
      <w:t>2</w:t>
    </w:r>
    <w:r w:rsidRPr="00256C59">
      <w:rPr>
        <w:color w:val="4D4D4D"/>
      </w:rPr>
      <w:fldChar w:fldCharType="end"/>
    </w:r>
  </w:p>
  <w:p w14:paraId="3B36B598" w14:textId="77777777" w:rsidR="00AA5852" w:rsidRPr="00AA5852" w:rsidRDefault="00AA5852" w:rsidP="001C18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ED3E" w14:textId="77777777" w:rsidR="00F72725" w:rsidRDefault="00F72725" w:rsidP="001C18E5">
      <w:r>
        <w:separator/>
      </w:r>
    </w:p>
  </w:footnote>
  <w:footnote w:type="continuationSeparator" w:id="0">
    <w:p w14:paraId="2F0D79A6" w14:textId="77777777" w:rsidR="00F72725" w:rsidRDefault="00F72725" w:rsidP="001C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C1F1" w14:textId="77777777" w:rsidR="00A26C22" w:rsidRDefault="00F72725" w:rsidP="001C18E5">
    <w:pPr>
      <w:pStyle w:val="BBIJUfooter"/>
    </w:pPr>
    <w:r w:rsidRPr="003E651C">
      <w:rPr>
        <w:noProof/>
      </w:rPr>
      <w:drawing>
        <wp:inline distT="0" distB="0" distL="0" distR="0" wp14:anchorId="460E16AD" wp14:editId="2588CF2E">
          <wp:extent cx="1028700" cy="466725"/>
          <wp:effectExtent l="0" t="0" r="0" b="0"/>
          <wp:docPr id="2" name="Picture 5" descr="https://www.bbi.europa.eu/sites/default/files/CBE-JU_logo_colour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bbi.europa.eu/sites/default/files/CBE-JU_logo_colour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7FBE4" w14:textId="77777777" w:rsidR="001C18E5" w:rsidRPr="001C18E5" w:rsidRDefault="001C18E5" w:rsidP="001C18E5">
    <w:pPr>
      <w:pStyle w:val="BBIJUfooter"/>
      <w:rPr>
        <w:sz w:val="6"/>
      </w:rPr>
    </w:pPr>
  </w:p>
  <w:p w14:paraId="0BB71C4B" w14:textId="77777777" w:rsidR="00A26C22" w:rsidRPr="00A21DB3" w:rsidRDefault="00A21DB3" w:rsidP="00A21DB3">
    <w:pPr>
      <w:tabs>
        <w:tab w:val="center" w:pos="4536"/>
        <w:tab w:val="right" w:pos="9072"/>
      </w:tabs>
      <w:jc w:val="center"/>
      <w:rPr>
        <w:sz w:val="16"/>
        <w:szCs w:val="18"/>
      </w:rPr>
    </w:pPr>
    <w:r>
      <w:rPr>
        <w:sz w:val="16"/>
      </w:rPr>
      <w:t>Call</w:t>
    </w:r>
    <w:r w:rsidRPr="00322207">
      <w:rPr>
        <w:sz w:val="16"/>
      </w:rPr>
      <w:t xml:space="preserve">: </w:t>
    </w:r>
    <w:r w:rsidRPr="00FD55D5">
      <w:rPr>
        <w:sz w:val="16"/>
      </w:rPr>
      <w:t>HORIZON-JU-CBE-2022</w:t>
    </w:r>
    <w:r w:rsidRPr="00F94450">
      <w:rPr>
        <w:sz w:val="16"/>
      </w:rPr>
      <w:t xml:space="preserve"> </w:t>
    </w:r>
    <w:r w:rsidRPr="00F94450">
      <w:rPr>
        <w:sz w:val="16"/>
        <w:szCs w:val="18"/>
      </w:rPr>
      <w:t xml:space="preserve">— </w:t>
    </w:r>
    <w:r w:rsidRPr="00642A00">
      <w:rPr>
        <w:sz w:val="16"/>
        <w:szCs w:val="18"/>
      </w:rPr>
      <w:t>Circular Bio-based Europe Joint Undertaking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46F"/>
    <w:multiLevelType w:val="hybridMultilevel"/>
    <w:tmpl w:val="82100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CF0"/>
    <w:multiLevelType w:val="hybridMultilevel"/>
    <w:tmpl w:val="BA80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46C6"/>
    <w:multiLevelType w:val="hybridMultilevel"/>
    <w:tmpl w:val="DD8CCC5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276710"/>
    <w:multiLevelType w:val="hybridMultilevel"/>
    <w:tmpl w:val="2B70B3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026BA"/>
    <w:multiLevelType w:val="hybridMultilevel"/>
    <w:tmpl w:val="DDEAE0D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080F"/>
    <w:multiLevelType w:val="hybridMultilevel"/>
    <w:tmpl w:val="D130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C5582"/>
    <w:multiLevelType w:val="hybridMultilevel"/>
    <w:tmpl w:val="5042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6758"/>
    <w:multiLevelType w:val="hybridMultilevel"/>
    <w:tmpl w:val="DE5E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A9C"/>
    <w:multiLevelType w:val="hybridMultilevel"/>
    <w:tmpl w:val="0518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86106"/>
    <w:multiLevelType w:val="hybridMultilevel"/>
    <w:tmpl w:val="D026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5522C"/>
    <w:multiLevelType w:val="hybridMultilevel"/>
    <w:tmpl w:val="74A8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644FF"/>
    <w:multiLevelType w:val="hybridMultilevel"/>
    <w:tmpl w:val="37226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76887"/>
    <w:multiLevelType w:val="hybridMultilevel"/>
    <w:tmpl w:val="7BAE25C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242E7D"/>
    <w:multiLevelType w:val="hybridMultilevel"/>
    <w:tmpl w:val="90B6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3300F"/>
    <w:multiLevelType w:val="hybridMultilevel"/>
    <w:tmpl w:val="C70E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15D62"/>
    <w:multiLevelType w:val="hybridMultilevel"/>
    <w:tmpl w:val="D7C8B0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B968F0"/>
    <w:multiLevelType w:val="hybridMultilevel"/>
    <w:tmpl w:val="3C4A7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63A90"/>
    <w:multiLevelType w:val="multilevel"/>
    <w:tmpl w:val="A91E571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5D443B8E"/>
    <w:multiLevelType w:val="hybridMultilevel"/>
    <w:tmpl w:val="435EC544"/>
    <w:lvl w:ilvl="0" w:tplc="A934DD8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5F5BDB"/>
    <w:multiLevelType w:val="multilevel"/>
    <w:tmpl w:val="616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444836"/>
    <w:multiLevelType w:val="hybridMultilevel"/>
    <w:tmpl w:val="18D0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806B4"/>
    <w:multiLevelType w:val="hybridMultilevel"/>
    <w:tmpl w:val="A12ED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E7DAD"/>
    <w:multiLevelType w:val="hybridMultilevel"/>
    <w:tmpl w:val="3DCC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61E61"/>
    <w:multiLevelType w:val="hybridMultilevel"/>
    <w:tmpl w:val="7DACA266"/>
    <w:lvl w:ilvl="0" w:tplc="9E721798">
      <w:start w:val="1"/>
      <w:numFmt w:val="lowerLetter"/>
      <w:lvlText w:val="(%1)"/>
      <w:lvlJc w:val="left"/>
      <w:pPr>
        <w:ind w:left="750" w:hanging="39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E5722F"/>
    <w:multiLevelType w:val="hybridMultilevel"/>
    <w:tmpl w:val="7E4A4356"/>
    <w:lvl w:ilvl="0" w:tplc="ADBC75B8">
      <w:numFmt w:val="bullet"/>
      <w:lvlText w:val="•"/>
      <w:lvlJc w:val="left"/>
      <w:pPr>
        <w:ind w:left="1065" w:hanging="705"/>
      </w:pPr>
      <w:rPr>
        <w:rFonts w:ascii="Arial" w:eastAsiaTheme="majorEastAsia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91666"/>
    <w:multiLevelType w:val="hybridMultilevel"/>
    <w:tmpl w:val="DED4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5"/>
  </w:num>
  <w:num w:numId="4">
    <w:abstractNumId w:val="19"/>
  </w:num>
  <w:num w:numId="5">
    <w:abstractNumId w:val="7"/>
  </w:num>
  <w:num w:numId="6">
    <w:abstractNumId w:val="21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6"/>
  </w:num>
  <w:num w:numId="13">
    <w:abstractNumId w:val="9"/>
  </w:num>
  <w:num w:numId="14">
    <w:abstractNumId w:val="17"/>
  </w:num>
  <w:num w:numId="15">
    <w:abstractNumId w:val="8"/>
  </w:num>
  <w:num w:numId="16">
    <w:abstractNumId w:val="0"/>
  </w:num>
  <w:num w:numId="17">
    <w:abstractNumId w:val="5"/>
  </w:num>
  <w:num w:numId="18">
    <w:abstractNumId w:val="1"/>
  </w:num>
  <w:num w:numId="19">
    <w:abstractNumId w:val="22"/>
  </w:num>
  <w:num w:numId="20">
    <w:abstractNumId w:val="20"/>
  </w:num>
  <w:num w:numId="21">
    <w:abstractNumId w:val="16"/>
  </w:num>
  <w:num w:numId="22">
    <w:abstractNumId w:val="24"/>
  </w:num>
  <w:num w:numId="23">
    <w:abstractNumId w:val="2"/>
  </w:num>
  <w:num w:numId="24">
    <w:abstractNumId w:val="23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wMLcwMzUxN7A0NDNT0lEKTi0uzszPAykwrQUARIJINiwAAAA="/>
  </w:docVars>
  <w:rsids>
    <w:rsidRoot w:val="001D2F0E"/>
    <w:rsid w:val="00007218"/>
    <w:rsid w:val="00037268"/>
    <w:rsid w:val="00052544"/>
    <w:rsid w:val="00066493"/>
    <w:rsid w:val="00075C42"/>
    <w:rsid w:val="000B3009"/>
    <w:rsid w:val="000E0CE6"/>
    <w:rsid w:val="000E6923"/>
    <w:rsid w:val="00102653"/>
    <w:rsid w:val="00184B5E"/>
    <w:rsid w:val="001B2C2A"/>
    <w:rsid w:val="001B31B9"/>
    <w:rsid w:val="001B365B"/>
    <w:rsid w:val="001C18E5"/>
    <w:rsid w:val="001D2F0E"/>
    <w:rsid w:val="001D5009"/>
    <w:rsid w:val="00233023"/>
    <w:rsid w:val="0024193F"/>
    <w:rsid w:val="002524E7"/>
    <w:rsid w:val="00256C59"/>
    <w:rsid w:val="002768BA"/>
    <w:rsid w:val="00295304"/>
    <w:rsid w:val="002B65F4"/>
    <w:rsid w:val="00307285"/>
    <w:rsid w:val="00322207"/>
    <w:rsid w:val="00325914"/>
    <w:rsid w:val="0034056C"/>
    <w:rsid w:val="00372287"/>
    <w:rsid w:val="003B1C18"/>
    <w:rsid w:val="003B20F4"/>
    <w:rsid w:val="003E2BA7"/>
    <w:rsid w:val="003E651C"/>
    <w:rsid w:val="00414EC0"/>
    <w:rsid w:val="00437D07"/>
    <w:rsid w:val="00440C11"/>
    <w:rsid w:val="0044603B"/>
    <w:rsid w:val="004468EA"/>
    <w:rsid w:val="00447C5E"/>
    <w:rsid w:val="004A11CA"/>
    <w:rsid w:val="004B59A0"/>
    <w:rsid w:val="004D5610"/>
    <w:rsid w:val="004E6ABD"/>
    <w:rsid w:val="004F457E"/>
    <w:rsid w:val="00502AC6"/>
    <w:rsid w:val="0050365B"/>
    <w:rsid w:val="005129CF"/>
    <w:rsid w:val="00523F66"/>
    <w:rsid w:val="00575F77"/>
    <w:rsid w:val="00581FAB"/>
    <w:rsid w:val="005A6B09"/>
    <w:rsid w:val="005D7EA3"/>
    <w:rsid w:val="005E397C"/>
    <w:rsid w:val="005F2BB9"/>
    <w:rsid w:val="00604CAC"/>
    <w:rsid w:val="0060711B"/>
    <w:rsid w:val="00613C5E"/>
    <w:rsid w:val="00642A00"/>
    <w:rsid w:val="006735C0"/>
    <w:rsid w:val="00674918"/>
    <w:rsid w:val="00692A03"/>
    <w:rsid w:val="006C5B50"/>
    <w:rsid w:val="006E28E1"/>
    <w:rsid w:val="00703447"/>
    <w:rsid w:val="00733B46"/>
    <w:rsid w:val="007818DD"/>
    <w:rsid w:val="00790B53"/>
    <w:rsid w:val="007B799E"/>
    <w:rsid w:val="007D72D4"/>
    <w:rsid w:val="00812760"/>
    <w:rsid w:val="0081433C"/>
    <w:rsid w:val="00853B77"/>
    <w:rsid w:val="0086599D"/>
    <w:rsid w:val="008D4298"/>
    <w:rsid w:val="008E6458"/>
    <w:rsid w:val="00935C4B"/>
    <w:rsid w:val="00936797"/>
    <w:rsid w:val="00943C62"/>
    <w:rsid w:val="009659E7"/>
    <w:rsid w:val="00973B85"/>
    <w:rsid w:val="00986220"/>
    <w:rsid w:val="00996DD5"/>
    <w:rsid w:val="009C7CD9"/>
    <w:rsid w:val="009E14A5"/>
    <w:rsid w:val="009E7819"/>
    <w:rsid w:val="009F17E1"/>
    <w:rsid w:val="009F733D"/>
    <w:rsid w:val="00A05C44"/>
    <w:rsid w:val="00A21DB3"/>
    <w:rsid w:val="00A26C22"/>
    <w:rsid w:val="00A36F24"/>
    <w:rsid w:val="00A947C1"/>
    <w:rsid w:val="00AA5852"/>
    <w:rsid w:val="00AE3D3D"/>
    <w:rsid w:val="00AF1339"/>
    <w:rsid w:val="00B044CE"/>
    <w:rsid w:val="00B336F2"/>
    <w:rsid w:val="00B37819"/>
    <w:rsid w:val="00B519A1"/>
    <w:rsid w:val="00B57F90"/>
    <w:rsid w:val="00BD030D"/>
    <w:rsid w:val="00BF4109"/>
    <w:rsid w:val="00C218FB"/>
    <w:rsid w:val="00C44B89"/>
    <w:rsid w:val="00C640E3"/>
    <w:rsid w:val="00C86510"/>
    <w:rsid w:val="00CA337B"/>
    <w:rsid w:val="00CB6F7C"/>
    <w:rsid w:val="00CC77B7"/>
    <w:rsid w:val="00CC7B9D"/>
    <w:rsid w:val="00CE7910"/>
    <w:rsid w:val="00CF31FF"/>
    <w:rsid w:val="00D03323"/>
    <w:rsid w:val="00D12BA3"/>
    <w:rsid w:val="00D4586F"/>
    <w:rsid w:val="00E16AE4"/>
    <w:rsid w:val="00E33912"/>
    <w:rsid w:val="00E601B5"/>
    <w:rsid w:val="00E74259"/>
    <w:rsid w:val="00E8557A"/>
    <w:rsid w:val="00E93AA5"/>
    <w:rsid w:val="00EB456A"/>
    <w:rsid w:val="00EE11A2"/>
    <w:rsid w:val="00EE2106"/>
    <w:rsid w:val="00EE54B6"/>
    <w:rsid w:val="00F037F6"/>
    <w:rsid w:val="00F07D3C"/>
    <w:rsid w:val="00F34602"/>
    <w:rsid w:val="00F56F46"/>
    <w:rsid w:val="00F614B3"/>
    <w:rsid w:val="00F72725"/>
    <w:rsid w:val="00F76681"/>
    <w:rsid w:val="00F91FAC"/>
    <w:rsid w:val="00F94450"/>
    <w:rsid w:val="00FA1ED2"/>
    <w:rsid w:val="00FB0A54"/>
    <w:rsid w:val="00FB5B1E"/>
    <w:rsid w:val="00FD55D5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ED3C1"/>
  <w14:defaultImageDpi w14:val="0"/>
  <w15:docId w15:val="{E589371B-4E62-47DC-9C08-3612DEDA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E5"/>
    <w:pPr>
      <w:spacing w:before="120" w:after="0"/>
      <w:jc w:val="both"/>
    </w:pPr>
    <w:rPr>
      <w:rFonts w:ascii="Arial" w:hAnsi="Arial" w:cs="Open Sans"/>
      <w:color w:val="45484A"/>
      <w:w w:val="105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8E5"/>
    <w:pPr>
      <w:keepNext/>
      <w:keepLines/>
      <w:spacing w:before="480" w:after="120"/>
      <w:contextualSpacing/>
      <w:outlineLvl w:val="0"/>
    </w:pPr>
    <w:rPr>
      <w:rFonts w:eastAsiaTheme="majorEastAsia" w:cs="Arial"/>
      <w:b/>
      <w:bCs/>
      <w:color w:val="0097CE"/>
      <w:w w:val="1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8E5"/>
    <w:pPr>
      <w:keepNext/>
      <w:keepLines/>
      <w:numPr>
        <w:numId w:val="14"/>
      </w:numPr>
      <w:spacing w:before="200" w:after="120"/>
      <w:contextualSpacing/>
      <w:outlineLvl w:val="1"/>
    </w:pPr>
    <w:rPr>
      <w:rFonts w:eastAsiaTheme="majorEastAsia"/>
      <w:b/>
      <w:bCs/>
      <w:color w:val="A0B01E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8E5"/>
    <w:pPr>
      <w:keepNext/>
      <w:keepLines/>
      <w:spacing w:before="200" w:after="120"/>
      <w:contextualSpacing/>
      <w:outlineLvl w:val="2"/>
    </w:pPr>
    <w:rPr>
      <w:rFonts w:eastAsiaTheme="majorEastAsia"/>
      <w:b/>
      <w:bCs/>
      <w:color w:val="4D4D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C18E5"/>
    <w:rPr>
      <w:rFonts w:ascii="Arial" w:eastAsiaTheme="majorEastAsia" w:hAnsi="Arial" w:cs="Arial"/>
      <w:b/>
      <w:bCs/>
      <w:color w:val="0097CE"/>
      <w:sz w:val="48"/>
      <w:szCs w:val="48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C18E5"/>
    <w:rPr>
      <w:rFonts w:ascii="Arial" w:eastAsiaTheme="majorEastAsia" w:hAnsi="Arial" w:cs="Open Sans"/>
      <w:b/>
      <w:bCs/>
      <w:color w:val="A0B01E"/>
      <w:w w:val="105"/>
      <w:sz w:val="32"/>
      <w:szCs w:val="32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C18E5"/>
    <w:rPr>
      <w:rFonts w:ascii="Arial" w:eastAsiaTheme="majorEastAsia" w:hAnsi="Arial" w:cs="Open Sans"/>
      <w:b/>
      <w:bCs/>
      <w:color w:val="4D4D4D"/>
      <w:w w:val="105"/>
      <w:sz w:val="24"/>
      <w:szCs w:val="24"/>
      <w:lang w:val="en-GB" w:eastAsia="x-none"/>
    </w:rPr>
  </w:style>
  <w:style w:type="table" w:styleId="TableGrid">
    <w:name w:val="Table Grid"/>
    <w:basedOn w:val="TableNormal"/>
    <w:uiPriority w:val="39"/>
    <w:rsid w:val="001D2F0E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F0E"/>
    <w:pPr>
      <w:tabs>
        <w:tab w:val="center" w:pos="4513"/>
        <w:tab w:val="right" w:pos="9026"/>
      </w:tabs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2F0E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1D2F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F0E"/>
    <w:rPr>
      <w:rFonts w:ascii="Tahoma" w:hAnsi="Tahoma" w:cs="Tahoma"/>
      <w:sz w:val="16"/>
      <w:szCs w:val="16"/>
      <w:lang w:val="en-GB" w:eastAsia="x-none"/>
    </w:rPr>
  </w:style>
  <w:style w:type="table" w:customStyle="1" w:styleId="F1TableGray">
    <w:name w:val="F.1 Table Gray"/>
    <w:basedOn w:val="TableNormal"/>
    <w:uiPriority w:val="99"/>
    <w:rsid w:val="005F2BB9"/>
    <w:pPr>
      <w:spacing w:after="0" w:line="240" w:lineRule="auto"/>
    </w:pPr>
    <w:rPr>
      <w:rFonts w:ascii="Trebuchet MS" w:hAnsi="Trebuchet MS" w:cs="Times New Roman"/>
      <w:sz w:val="18"/>
      <w:szCs w:val="20"/>
      <w:lang w:val="pl-PL" w:eastAsia="pl-PL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 w:cs="Times New Roman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paragraph" w:styleId="ListParagraph">
    <w:name w:val="List Paragraph"/>
    <w:basedOn w:val="Normal"/>
    <w:uiPriority w:val="34"/>
    <w:qFormat/>
    <w:rsid w:val="004B59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3A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A5"/>
    <w:rPr>
      <w:rFonts w:cs="Times New Roman"/>
      <w:b/>
      <w:bCs/>
    </w:rPr>
  </w:style>
  <w:style w:type="paragraph" w:customStyle="1" w:styleId="Default">
    <w:name w:val="Default"/>
    <w:rsid w:val="006C5B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31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1FF"/>
    <w:rPr>
      <w:rFonts w:cs="Times New Roman"/>
      <w:lang w:val="en-GB" w:eastAsia="x-none"/>
    </w:rPr>
  </w:style>
  <w:style w:type="paragraph" w:customStyle="1" w:styleId="AgendaTime">
    <w:name w:val="AgendaTime"/>
    <w:qFormat/>
    <w:rsid w:val="00AE3D3D"/>
    <w:pPr>
      <w:spacing w:before="240" w:after="0"/>
    </w:pPr>
    <w:rPr>
      <w:rFonts w:ascii="Arial" w:hAnsi="Arial" w:cs="Arial"/>
      <w:bCs/>
      <w:sz w:val="20"/>
      <w:szCs w:val="20"/>
      <w:lang w:val="en-GB"/>
    </w:rPr>
  </w:style>
  <w:style w:type="paragraph" w:customStyle="1" w:styleId="AgendaChair">
    <w:name w:val="AgendaChair"/>
    <w:qFormat/>
    <w:rsid w:val="00AE3D3D"/>
    <w:pPr>
      <w:spacing w:after="240"/>
    </w:pPr>
    <w:rPr>
      <w:rFonts w:ascii="Arial" w:hAnsi="Arial" w:cs="Arial"/>
      <w:bCs/>
      <w:sz w:val="20"/>
      <w:szCs w:val="20"/>
      <w:lang w:val="en-GB"/>
    </w:rPr>
  </w:style>
  <w:style w:type="paragraph" w:customStyle="1" w:styleId="AgendaSubject">
    <w:name w:val="AgendaSubject"/>
    <w:qFormat/>
    <w:rsid w:val="00AE3D3D"/>
    <w:pPr>
      <w:spacing w:after="0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AgendaTimeItalic">
    <w:name w:val="AgendaTimeItalic"/>
    <w:basedOn w:val="AgendaTime"/>
    <w:qFormat/>
    <w:rsid w:val="00AE3D3D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A26C2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26C22"/>
    <w:rPr>
      <w:rFonts w:cs="Times New Roman"/>
      <w:sz w:val="20"/>
      <w:szCs w:val="20"/>
      <w:lang w:val="en-GB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A26C22"/>
    <w:rPr>
      <w:rFonts w:cs="Times New Roman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AA585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18E5"/>
    <w:rPr>
      <w:rFonts w:cs="Times New Roman"/>
      <w:color w:val="800080" w:themeColor="followedHyperlink"/>
      <w:u w:val="single"/>
    </w:rPr>
  </w:style>
  <w:style w:type="character" w:customStyle="1" w:styleId="FootnoteChar">
    <w:name w:val="Footnote Char"/>
    <w:basedOn w:val="FootnoteTextChar"/>
    <w:link w:val="Footnote"/>
    <w:locked/>
    <w:rsid w:val="00AA5852"/>
    <w:rPr>
      <w:rFonts w:ascii="Open Sans" w:hAnsi="Open Sans" w:cs="Open Sans"/>
      <w:color w:val="45484A"/>
      <w:w w:val="105"/>
      <w:sz w:val="16"/>
      <w:szCs w:val="16"/>
      <w:lang w:val="en-GB" w:eastAsia="x-none"/>
    </w:rPr>
  </w:style>
  <w:style w:type="paragraph" w:customStyle="1" w:styleId="BBIJUfooter">
    <w:name w:val="BBI JU footer"/>
    <w:basedOn w:val="Header"/>
    <w:link w:val="BBIJUfooterChar"/>
    <w:qFormat/>
    <w:rsid w:val="001C18E5"/>
    <w:pPr>
      <w:jc w:val="center"/>
    </w:pPr>
    <w:rPr>
      <w:rFonts w:ascii="Arial" w:hAnsi="Arial" w:cs="Arial"/>
      <w:sz w:val="16"/>
      <w:szCs w:val="16"/>
    </w:rPr>
  </w:style>
  <w:style w:type="paragraph" w:customStyle="1" w:styleId="Initialtable">
    <w:name w:val="Initial table"/>
    <w:basedOn w:val="Normal"/>
    <w:link w:val="InitialtableChar"/>
    <w:qFormat/>
    <w:rsid w:val="00256C59"/>
    <w:pPr>
      <w:spacing w:before="0" w:line="240" w:lineRule="auto"/>
      <w:jc w:val="center"/>
    </w:pPr>
    <w:rPr>
      <w:b/>
      <w:sz w:val="24"/>
      <w:szCs w:val="20"/>
      <w:lang w:eastAsia="en-GB"/>
    </w:rPr>
  </w:style>
  <w:style w:type="character" w:customStyle="1" w:styleId="BBIJUfooterChar">
    <w:name w:val="BBI JU footer Char"/>
    <w:basedOn w:val="HeaderChar"/>
    <w:link w:val="BBIJUfooter"/>
    <w:locked/>
    <w:rsid w:val="001C18E5"/>
    <w:rPr>
      <w:rFonts w:ascii="Arial" w:hAnsi="Arial" w:cs="Arial"/>
      <w:color w:val="45484A"/>
      <w:w w:val="105"/>
      <w:sz w:val="16"/>
      <w:szCs w:val="16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56C59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 w:cs="Times New Roman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InitialtableChar">
    <w:name w:val="Initial table Char"/>
    <w:basedOn w:val="DefaultParagraphFont"/>
    <w:link w:val="Initialtable"/>
    <w:locked/>
    <w:rsid w:val="00256C59"/>
    <w:rPr>
      <w:rFonts w:ascii="Arial" w:hAnsi="Arial" w:cs="Open Sans"/>
      <w:b/>
      <w:color w:val="45484A"/>
      <w:w w:val="105"/>
      <w:sz w:val="20"/>
      <w:szCs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256C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56C59"/>
    <w:pPr>
      <w:spacing w:after="100"/>
      <w:ind w:left="440"/>
    </w:pPr>
  </w:style>
  <w:style w:type="paragraph" w:styleId="Revision">
    <w:name w:val="Revision"/>
    <w:hidden/>
    <w:uiPriority w:val="99"/>
    <w:semiHidden/>
    <w:rsid w:val="00E601B5"/>
    <w:pPr>
      <w:spacing w:after="0" w:line="240" w:lineRule="auto"/>
    </w:pPr>
    <w:rPr>
      <w:rFonts w:ascii="Arial" w:hAnsi="Arial" w:cs="Open Sans"/>
      <w:color w:val="45484A"/>
      <w:w w:val="10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6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21/2085/o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6978-0DE7-4AC1-B694-1572D147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 ITURRALDE Marta ( BBI )</dc:creator>
  <cp:keywords/>
  <dc:description/>
  <cp:lastModifiedBy>ZOBELL Oliver (CBE)</cp:lastModifiedBy>
  <cp:revision>2</cp:revision>
  <cp:lastPrinted>2020-02-10T15:29:00Z</cp:lastPrinted>
  <dcterms:created xsi:type="dcterms:W3CDTF">2022-06-27T14:30:00Z</dcterms:created>
  <dcterms:modified xsi:type="dcterms:W3CDTF">2022-06-27T14:30:00Z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2022-06-20T18:25:04Z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415f8adb-1547-4133-a6ad-6d5df1adbad0</vt:lpwstr>
  </property>
  <property fmtid="{D5CDD505-2E9C-101B-9397-08002B2CF9AE}" pid="8" name="MSIP_Label_6bd9ddd1-4d20-43f6-abfa-fc3c07406f94_ContentBits">
    <vt:lpwstr>0</vt:lpwstr>
  </property>
</Properties>
</file>